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9D9300" w14:textId="2C321011" w:rsidR="0088742D" w:rsidRPr="0088742D" w:rsidRDefault="0088742D" w:rsidP="0088742D">
      <w:pPr>
        <w:pStyle w:val="Title"/>
        <w:jc w:val="center"/>
        <w:rPr>
          <w:rFonts w:ascii="Calibri" w:hAnsi="Calibri"/>
          <w:b/>
          <w:bCs/>
        </w:rPr>
      </w:pPr>
      <w:r w:rsidRPr="0088742D">
        <w:rPr>
          <w:rFonts w:ascii="Calibri" w:hAnsi="Calibri"/>
          <w:b/>
          <w:bCs/>
        </w:rPr>
        <w:t>Implementation Toolkit</w:t>
      </w:r>
    </w:p>
    <w:p w14:paraId="171D4C61" w14:textId="50CF2C37" w:rsidR="0088742D" w:rsidRPr="0088742D" w:rsidRDefault="0088742D" w:rsidP="0088742D">
      <w:pPr>
        <w:pStyle w:val="Title"/>
        <w:jc w:val="center"/>
        <w:rPr>
          <w:rFonts w:ascii="Calibri" w:hAnsi="Calibri"/>
          <w:b/>
          <w:bCs/>
        </w:rPr>
      </w:pPr>
      <w:r w:rsidRPr="0088742D">
        <w:rPr>
          <w:rFonts w:ascii="Calibri" w:hAnsi="Calibri"/>
          <w:b/>
          <w:bCs/>
        </w:rPr>
        <w:t>for</w:t>
      </w:r>
    </w:p>
    <w:p w14:paraId="5A07F5EF" w14:textId="179F363E" w:rsidR="0088742D" w:rsidRPr="0088742D" w:rsidRDefault="0088742D" w:rsidP="0088742D">
      <w:pPr>
        <w:pStyle w:val="Title"/>
        <w:jc w:val="center"/>
        <w:rPr>
          <w:rFonts w:ascii="Calibri" w:hAnsi="Calibri"/>
          <w:b/>
          <w:bCs/>
        </w:rPr>
      </w:pPr>
      <w:r w:rsidRPr="0088742D">
        <w:rPr>
          <w:rFonts w:ascii="Calibri" w:hAnsi="Calibri"/>
          <w:b/>
          <w:bCs/>
        </w:rPr>
        <w:t>Clinical Handover</w:t>
      </w:r>
    </w:p>
    <w:p w14:paraId="7E72C3B6" w14:textId="51F0A8BC" w:rsidR="0088742D" w:rsidRPr="0088742D" w:rsidRDefault="0088742D" w:rsidP="0088742D">
      <w:pPr>
        <w:pStyle w:val="Title"/>
        <w:jc w:val="center"/>
        <w:rPr>
          <w:rFonts w:ascii="Calibri" w:hAnsi="Calibri"/>
          <w:b/>
          <w:bCs/>
        </w:rPr>
      </w:pPr>
      <w:r w:rsidRPr="0088742D">
        <w:rPr>
          <w:rFonts w:ascii="Calibri" w:hAnsi="Calibri"/>
          <w:b/>
          <w:bCs/>
        </w:rPr>
        <w:t>to Pharmacists in the Community</w:t>
      </w:r>
    </w:p>
    <w:p w14:paraId="11061C02" w14:textId="7E8F7D21" w:rsidR="00B32097" w:rsidRPr="00B32097" w:rsidRDefault="0088742D" w:rsidP="00B32097">
      <w:pPr>
        <w:pStyle w:val="Title"/>
        <w:rPr>
          <w:rFonts w:ascii="Calibri" w:hAnsi="Calibri"/>
          <w:lang w:val="en-AU"/>
        </w:rPr>
      </w:pPr>
      <w:r w:rsidRPr="00074A4E">
        <w:rPr>
          <w:b/>
          <w:noProof/>
        </w:rPr>
        <mc:AlternateContent>
          <mc:Choice Requires="wps">
            <w:drawing>
              <wp:anchor distT="0" distB="0" distL="114300" distR="114300" simplePos="0" relativeHeight="251661312" behindDoc="0" locked="0" layoutInCell="1" allowOverlap="1" wp14:anchorId="34832264" wp14:editId="02A2CA4E">
                <wp:simplePos x="0" y="0"/>
                <wp:positionH relativeFrom="column">
                  <wp:posOffset>2362200</wp:posOffset>
                </wp:positionH>
                <wp:positionV relativeFrom="paragraph">
                  <wp:posOffset>297180</wp:posOffset>
                </wp:positionV>
                <wp:extent cx="1107440" cy="0"/>
                <wp:effectExtent l="0" t="0" r="10160" b="12700"/>
                <wp:wrapNone/>
                <wp:docPr id="2" name="Straight Connector 2"/>
                <wp:cNvGraphicFramePr/>
                <a:graphic xmlns:a="http://schemas.openxmlformats.org/drawingml/2006/main">
                  <a:graphicData uri="http://schemas.microsoft.com/office/word/2010/wordprocessingShape">
                    <wps:wsp>
                      <wps:cNvCnPr/>
                      <wps:spPr>
                        <a:xfrm>
                          <a:off x="0" y="0"/>
                          <a:ext cx="1107440" cy="0"/>
                        </a:xfrm>
                        <a:prstGeom prst="line">
                          <a:avLst/>
                        </a:prstGeom>
                        <a:ln w="12700">
                          <a:solidFill>
                            <a:srgbClr val="A4CD3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1F20DC"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6pt,23.4pt" to="273.2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" strokecolor="#a4cd39" strokeweight="1pt">
                <v:stroke joinstyle="miter"/>
              </v:line>
            </w:pict>
          </mc:Fallback>
        </mc:AlternateContent>
      </w:r>
    </w:p>
    <w:p w14:paraId="6868A07C" w14:textId="77777777" w:rsidR="00525A08" w:rsidRDefault="00525A08" w:rsidP="0088742D">
      <w:pPr>
        <w:pStyle w:val="Subtitle"/>
        <w:spacing w:after="840"/>
        <w:jc w:val="center"/>
      </w:pPr>
      <w:r>
        <w:t>A guide to support implementation of the Transfer of Care Around Medicines model</w:t>
      </w:r>
    </w:p>
    <w:p w14:paraId="326D22EA" w14:textId="61612F83" w:rsidR="00074A4E" w:rsidRDefault="00525A08" w:rsidP="0088742D">
      <w:pPr>
        <w:pStyle w:val="Subtitle"/>
        <w:spacing w:after="840"/>
        <w:jc w:val="center"/>
      </w:pPr>
      <w:r>
        <w:t xml:space="preserve"> </w:t>
      </w:r>
      <w:r w:rsidR="0088742D">
        <w:t>April 2020</w:t>
      </w:r>
    </w:p>
    <w:p w14:paraId="50DBFDB6" w14:textId="77777777" w:rsidR="0088742D" w:rsidRDefault="0088742D">
      <w:pPr>
        <w:spacing w:after="0"/>
      </w:pPr>
    </w:p>
    <w:p w14:paraId="1AB88473" w14:textId="77777777" w:rsidR="0088742D" w:rsidRDefault="0088742D">
      <w:pPr>
        <w:spacing w:after="0"/>
      </w:pPr>
    </w:p>
    <w:p w14:paraId="79BFF663" w14:textId="77777777" w:rsidR="0088742D" w:rsidRDefault="0088742D" w:rsidP="0088742D">
      <w:pPr>
        <w:jc w:val="center"/>
        <w:rPr>
          <w:rFonts w:eastAsiaTheme="majorEastAsia" w:cstheme="majorBidi"/>
          <w:b/>
          <w:bCs/>
          <w:color w:val="000000" w:themeColor="text1"/>
          <w:sz w:val="28"/>
          <w:szCs w:val="28"/>
        </w:rPr>
      </w:pPr>
    </w:p>
    <w:p w14:paraId="545C2FD2" w14:textId="77777777" w:rsidR="0088742D" w:rsidRDefault="0088742D" w:rsidP="0088742D">
      <w:pPr>
        <w:rPr>
          <w:rFonts w:eastAsiaTheme="majorEastAsia" w:cstheme="majorBidi"/>
          <w:b/>
          <w:bCs/>
          <w:color w:val="000000" w:themeColor="text1"/>
          <w:sz w:val="28"/>
          <w:szCs w:val="28"/>
        </w:rPr>
      </w:pPr>
    </w:p>
    <w:p w14:paraId="6FA36EDE" w14:textId="77777777" w:rsidR="0088742D" w:rsidRDefault="0088742D" w:rsidP="0088742D">
      <w:pPr>
        <w:rPr>
          <w:rFonts w:eastAsiaTheme="majorEastAsia" w:cstheme="majorBidi"/>
          <w:b/>
          <w:bCs/>
          <w:color w:val="000000" w:themeColor="text1"/>
          <w:sz w:val="28"/>
          <w:szCs w:val="28"/>
        </w:rPr>
      </w:pPr>
    </w:p>
    <w:p w14:paraId="6BE123D8" w14:textId="77777777" w:rsidR="0088742D" w:rsidRDefault="0088742D" w:rsidP="0088742D">
      <w:pPr>
        <w:jc w:val="center"/>
        <w:rPr>
          <w:rFonts w:eastAsiaTheme="majorEastAsia" w:cstheme="majorBidi"/>
          <w:b/>
          <w:bCs/>
          <w:color w:val="000000" w:themeColor="text1"/>
          <w:sz w:val="28"/>
          <w:szCs w:val="28"/>
        </w:rPr>
        <w:sectPr w:rsidR="0088742D" w:rsidSect="0088742D">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pPr>
    </w:p>
    <w:sdt>
      <w:sdtPr>
        <w:id w:val="-665168318"/>
        <w:docPartObj>
          <w:docPartGallery w:val="Table of Contents"/>
          <w:docPartUnique/>
        </w:docPartObj>
      </w:sdtPr>
      <w:sdtEndPr>
        <w:rPr>
          <w:rFonts w:asciiTheme="minorHAnsi" w:eastAsiaTheme="minorHAnsi" w:hAnsiTheme="minorHAnsi" w:cstheme="minorBidi"/>
          <w:noProof/>
          <w:color w:val="auto"/>
          <w:sz w:val="22"/>
          <w:szCs w:val="24"/>
          <w:lang w:val="en-GB"/>
        </w:rPr>
      </w:sdtEndPr>
      <w:sdtContent>
        <w:p w14:paraId="2F015897" w14:textId="2B260228" w:rsidR="0088742D" w:rsidRDefault="0088742D">
          <w:pPr>
            <w:pStyle w:val="TOCHeading"/>
          </w:pPr>
          <w:r>
            <w:t>Contents</w:t>
          </w:r>
        </w:p>
        <w:p w14:paraId="5E27416A" w14:textId="74B73B90" w:rsidR="0088742D" w:rsidRPr="0088742D" w:rsidRDefault="0088742D" w:rsidP="0088742D">
          <w:pPr>
            <w:pStyle w:val="TOC1"/>
            <w:tabs>
              <w:tab w:val="left" w:pos="482"/>
              <w:tab w:val="right" w:leader="dot" w:pos="9016"/>
            </w:tabs>
            <w:spacing w:line="240" w:lineRule="exact"/>
            <w:rPr>
              <w:rFonts w:eastAsiaTheme="minorEastAsia"/>
              <w:b w:val="0"/>
              <w:bCs w:val="0"/>
              <w:i w:val="0"/>
              <w:iCs w:val="0"/>
              <w:noProof/>
              <w:sz w:val="22"/>
              <w:szCs w:val="22"/>
              <w:lang w:eastAsia="en-GB"/>
            </w:rPr>
          </w:pPr>
          <w:r w:rsidRPr="0088742D">
            <w:rPr>
              <w:sz w:val="22"/>
              <w:szCs w:val="22"/>
            </w:rPr>
            <w:fldChar w:fldCharType="begin"/>
          </w:r>
          <w:r w:rsidRPr="0088742D">
            <w:rPr>
              <w:sz w:val="22"/>
              <w:szCs w:val="22"/>
            </w:rPr>
            <w:instrText xml:space="preserve"> TOC \o "1-3" \h \z \u </w:instrText>
          </w:r>
          <w:r w:rsidRPr="0088742D">
            <w:rPr>
              <w:sz w:val="22"/>
              <w:szCs w:val="22"/>
            </w:rPr>
            <w:fldChar w:fldCharType="separate"/>
          </w:r>
          <w:hyperlink w:anchor="_Toc38369975" w:history="1">
            <w:r w:rsidRPr="0088742D">
              <w:rPr>
                <w:rStyle w:val="Hyperlink"/>
                <w:noProof/>
                <w:sz w:val="22"/>
                <w:szCs w:val="22"/>
              </w:rPr>
              <w:t>1</w:t>
            </w:r>
            <w:r w:rsidRPr="0088742D">
              <w:rPr>
                <w:rFonts w:eastAsiaTheme="minorEastAsia"/>
                <w:b w:val="0"/>
                <w:bCs w:val="0"/>
                <w:i w:val="0"/>
                <w:iCs w:val="0"/>
                <w:noProof/>
                <w:sz w:val="22"/>
                <w:szCs w:val="22"/>
                <w:lang w:eastAsia="en-GB"/>
              </w:rPr>
              <w:tab/>
            </w:r>
            <w:r w:rsidRPr="0088742D">
              <w:rPr>
                <w:rStyle w:val="Hyperlink"/>
                <w:noProof/>
                <w:sz w:val="22"/>
                <w:szCs w:val="22"/>
              </w:rPr>
              <w:t>Introduction</w:t>
            </w:r>
            <w:r w:rsidRPr="0088742D">
              <w:rPr>
                <w:noProof/>
                <w:webHidden/>
                <w:sz w:val="22"/>
                <w:szCs w:val="22"/>
              </w:rPr>
              <w:tab/>
            </w:r>
            <w:r w:rsidRPr="0088742D">
              <w:rPr>
                <w:noProof/>
                <w:webHidden/>
                <w:sz w:val="22"/>
                <w:szCs w:val="22"/>
              </w:rPr>
              <w:fldChar w:fldCharType="begin"/>
            </w:r>
            <w:r w:rsidRPr="0088742D">
              <w:rPr>
                <w:noProof/>
                <w:webHidden/>
                <w:sz w:val="22"/>
                <w:szCs w:val="22"/>
              </w:rPr>
              <w:instrText xml:space="preserve"> PAGEREF _Toc38369975 \h </w:instrText>
            </w:r>
            <w:r w:rsidRPr="0088742D">
              <w:rPr>
                <w:noProof/>
                <w:webHidden/>
                <w:sz w:val="22"/>
                <w:szCs w:val="22"/>
              </w:rPr>
            </w:r>
            <w:r w:rsidRPr="0088742D">
              <w:rPr>
                <w:noProof/>
                <w:webHidden/>
                <w:sz w:val="22"/>
                <w:szCs w:val="22"/>
              </w:rPr>
              <w:fldChar w:fldCharType="separate"/>
            </w:r>
            <w:r w:rsidRPr="0088742D">
              <w:rPr>
                <w:noProof/>
                <w:webHidden/>
                <w:sz w:val="22"/>
                <w:szCs w:val="22"/>
              </w:rPr>
              <w:t>3</w:t>
            </w:r>
            <w:r w:rsidRPr="0088742D">
              <w:rPr>
                <w:noProof/>
                <w:webHidden/>
                <w:sz w:val="22"/>
                <w:szCs w:val="22"/>
              </w:rPr>
              <w:fldChar w:fldCharType="end"/>
            </w:r>
          </w:hyperlink>
        </w:p>
        <w:p w14:paraId="23055C1F" w14:textId="1A635D2B" w:rsidR="0088742D" w:rsidRPr="0088742D" w:rsidRDefault="0088742D" w:rsidP="0088742D">
          <w:pPr>
            <w:pStyle w:val="TOC1"/>
            <w:tabs>
              <w:tab w:val="left" w:pos="482"/>
              <w:tab w:val="right" w:leader="dot" w:pos="9016"/>
            </w:tabs>
            <w:spacing w:line="240" w:lineRule="exact"/>
            <w:rPr>
              <w:rFonts w:eastAsiaTheme="minorEastAsia"/>
              <w:b w:val="0"/>
              <w:bCs w:val="0"/>
              <w:i w:val="0"/>
              <w:iCs w:val="0"/>
              <w:noProof/>
              <w:sz w:val="22"/>
              <w:szCs w:val="22"/>
              <w:lang w:eastAsia="en-GB"/>
            </w:rPr>
          </w:pPr>
          <w:hyperlink w:anchor="_Toc38369976" w:history="1">
            <w:r w:rsidRPr="0088742D">
              <w:rPr>
                <w:rStyle w:val="Hyperlink"/>
                <w:noProof/>
                <w:sz w:val="22"/>
                <w:szCs w:val="22"/>
              </w:rPr>
              <w:t>2</w:t>
            </w:r>
            <w:r w:rsidRPr="0088742D">
              <w:rPr>
                <w:rFonts w:eastAsiaTheme="minorEastAsia"/>
                <w:b w:val="0"/>
                <w:bCs w:val="0"/>
                <w:i w:val="0"/>
                <w:iCs w:val="0"/>
                <w:noProof/>
                <w:sz w:val="22"/>
                <w:szCs w:val="22"/>
                <w:lang w:eastAsia="en-GB"/>
              </w:rPr>
              <w:tab/>
            </w:r>
            <w:r w:rsidRPr="0088742D">
              <w:rPr>
                <w:rStyle w:val="Hyperlink"/>
                <w:noProof/>
                <w:sz w:val="22"/>
                <w:szCs w:val="22"/>
              </w:rPr>
              <w:t>Planning</w:t>
            </w:r>
            <w:r w:rsidRPr="0088742D">
              <w:rPr>
                <w:noProof/>
                <w:webHidden/>
                <w:sz w:val="22"/>
                <w:szCs w:val="22"/>
              </w:rPr>
              <w:tab/>
            </w:r>
            <w:r w:rsidRPr="0088742D">
              <w:rPr>
                <w:noProof/>
                <w:webHidden/>
                <w:sz w:val="22"/>
                <w:szCs w:val="22"/>
              </w:rPr>
              <w:fldChar w:fldCharType="begin"/>
            </w:r>
            <w:r w:rsidRPr="0088742D">
              <w:rPr>
                <w:noProof/>
                <w:webHidden/>
                <w:sz w:val="22"/>
                <w:szCs w:val="22"/>
              </w:rPr>
              <w:instrText xml:space="preserve"> PAGEREF _Toc38369976 \h </w:instrText>
            </w:r>
            <w:r w:rsidRPr="0088742D">
              <w:rPr>
                <w:noProof/>
                <w:webHidden/>
                <w:sz w:val="22"/>
                <w:szCs w:val="22"/>
              </w:rPr>
            </w:r>
            <w:r w:rsidRPr="0088742D">
              <w:rPr>
                <w:noProof/>
                <w:webHidden/>
                <w:sz w:val="22"/>
                <w:szCs w:val="22"/>
              </w:rPr>
              <w:fldChar w:fldCharType="separate"/>
            </w:r>
            <w:r w:rsidRPr="0088742D">
              <w:rPr>
                <w:noProof/>
                <w:webHidden/>
                <w:sz w:val="22"/>
                <w:szCs w:val="22"/>
              </w:rPr>
              <w:t>5</w:t>
            </w:r>
            <w:r w:rsidRPr="0088742D">
              <w:rPr>
                <w:noProof/>
                <w:webHidden/>
                <w:sz w:val="22"/>
                <w:szCs w:val="22"/>
              </w:rPr>
              <w:fldChar w:fldCharType="end"/>
            </w:r>
          </w:hyperlink>
        </w:p>
        <w:p w14:paraId="1FABD839" w14:textId="3479AC5D" w:rsidR="0088742D" w:rsidRPr="0088742D" w:rsidRDefault="0088742D" w:rsidP="0088742D">
          <w:pPr>
            <w:pStyle w:val="TOC2"/>
            <w:tabs>
              <w:tab w:val="left" w:pos="960"/>
              <w:tab w:val="right" w:leader="dot" w:pos="9016"/>
            </w:tabs>
            <w:spacing w:line="240" w:lineRule="exact"/>
            <w:rPr>
              <w:rFonts w:eastAsiaTheme="minorEastAsia"/>
              <w:b w:val="0"/>
              <w:bCs w:val="0"/>
              <w:noProof/>
              <w:sz w:val="22"/>
              <w:lang w:eastAsia="en-GB"/>
            </w:rPr>
          </w:pPr>
          <w:hyperlink w:anchor="_Toc38369977" w:history="1">
            <w:r w:rsidRPr="0088742D">
              <w:rPr>
                <w:rStyle w:val="Hyperlink"/>
                <w:noProof/>
                <w:sz w:val="22"/>
              </w:rPr>
              <w:t>2.1</w:t>
            </w:r>
            <w:r w:rsidRPr="0088742D">
              <w:rPr>
                <w:rFonts w:eastAsiaTheme="minorEastAsia"/>
                <w:b w:val="0"/>
                <w:bCs w:val="0"/>
                <w:noProof/>
                <w:sz w:val="22"/>
                <w:lang w:eastAsia="en-GB"/>
              </w:rPr>
              <w:tab/>
            </w:r>
            <w:r w:rsidRPr="0088742D">
              <w:rPr>
                <w:rStyle w:val="Hyperlink"/>
                <w:noProof/>
                <w:sz w:val="22"/>
              </w:rPr>
              <w:t>Establishing a compelling case for change</w:t>
            </w:r>
            <w:r w:rsidRPr="0088742D">
              <w:rPr>
                <w:noProof/>
                <w:webHidden/>
                <w:sz w:val="22"/>
              </w:rPr>
              <w:tab/>
            </w:r>
            <w:r w:rsidRPr="0088742D">
              <w:rPr>
                <w:noProof/>
                <w:webHidden/>
                <w:sz w:val="22"/>
              </w:rPr>
              <w:fldChar w:fldCharType="begin"/>
            </w:r>
            <w:r w:rsidRPr="0088742D">
              <w:rPr>
                <w:noProof/>
                <w:webHidden/>
                <w:sz w:val="22"/>
              </w:rPr>
              <w:instrText xml:space="preserve"> PAGEREF _Toc38369977 \h </w:instrText>
            </w:r>
            <w:r w:rsidRPr="0088742D">
              <w:rPr>
                <w:noProof/>
                <w:webHidden/>
                <w:sz w:val="22"/>
              </w:rPr>
            </w:r>
            <w:r w:rsidRPr="0088742D">
              <w:rPr>
                <w:noProof/>
                <w:webHidden/>
                <w:sz w:val="22"/>
              </w:rPr>
              <w:fldChar w:fldCharType="separate"/>
            </w:r>
            <w:r w:rsidRPr="0088742D">
              <w:rPr>
                <w:noProof/>
                <w:webHidden/>
                <w:sz w:val="22"/>
              </w:rPr>
              <w:t>5</w:t>
            </w:r>
            <w:r w:rsidRPr="0088742D">
              <w:rPr>
                <w:noProof/>
                <w:webHidden/>
                <w:sz w:val="22"/>
              </w:rPr>
              <w:fldChar w:fldCharType="end"/>
            </w:r>
          </w:hyperlink>
        </w:p>
        <w:p w14:paraId="1E92B6B6" w14:textId="4F640037" w:rsidR="0088742D" w:rsidRPr="0088742D" w:rsidRDefault="0088742D" w:rsidP="0088742D">
          <w:pPr>
            <w:pStyle w:val="TOC2"/>
            <w:tabs>
              <w:tab w:val="left" w:pos="960"/>
              <w:tab w:val="right" w:leader="dot" w:pos="9016"/>
            </w:tabs>
            <w:spacing w:line="240" w:lineRule="exact"/>
            <w:rPr>
              <w:rFonts w:eastAsiaTheme="minorEastAsia"/>
              <w:b w:val="0"/>
              <w:bCs w:val="0"/>
              <w:noProof/>
              <w:sz w:val="22"/>
              <w:lang w:eastAsia="en-GB"/>
            </w:rPr>
          </w:pPr>
          <w:hyperlink w:anchor="_Toc38369978" w:history="1">
            <w:r w:rsidRPr="0088742D">
              <w:rPr>
                <w:rStyle w:val="Hyperlink"/>
                <w:noProof/>
                <w:sz w:val="22"/>
              </w:rPr>
              <w:t>2.2</w:t>
            </w:r>
            <w:r w:rsidRPr="0088742D">
              <w:rPr>
                <w:rFonts w:eastAsiaTheme="minorEastAsia"/>
                <w:b w:val="0"/>
                <w:bCs w:val="0"/>
                <w:noProof/>
                <w:sz w:val="22"/>
                <w:lang w:eastAsia="en-GB"/>
              </w:rPr>
              <w:tab/>
            </w:r>
            <w:r w:rsidRPr="0088742D">
              <w:rPr>
                <w:rStyle w:val="Hyperlink"/>
                <w:noProof/>
                <w:sz w:val="22"/>
              </w:rPr>
              <w:t>Enlist influential leaders and champions</w:t>
            </w:r>
            <w:r w:rsidRPr="0088742D">
              <w:rPr>
                <w:noProof/>
                <w:webHidden/>
                <w:sz w:val="22"/>
              </w:rPr>
              <w:tab/>
            </w:r>
            <w:r w:rsidRPr="0088742D">
              <w:rPr>
                <w:noProof/>
                <w:webHidden/>
                <w:sz w:val="22"/>
              </w:rPr>
              <w:fldChar w:fldCharType="begin"/>
            </w:r>
            <w:r w:rsidRPr="0088742D">
              <w:rPr>
                <w:noProof/>
                <w:webHidden/>
                <w:sz w:val="22"/>
              </w:rPr>
              <w:instrText xml:space="preserve"> PAGEREF _Toc38369978 \h </w:instrText>
            </w:r>
            <w:r w:rsidRPr="0088742D">
              <w:rPr>
                <w:noProof/>
                <w:webHidden/>
                <w:sz w:val="22"/>
              </w:rPr>
            </w:r>
            <w:r w:rsidRPr="0088742D">
              <w:rPr>
                <w:noProof/>
                <w:webHidden/>
                <w:sz w:val="22"/>
              </w:rPr>
              <w:fldChar w:fldCharType="separate"/>
            </w:r>
            <w:r w:rsidRPr="0088742D">
              <w:rPr>
                <w:noProof/>
                <w:webHidden/>
                <w:sz w:val="22"/>
              </w:rPr>
              <w:t>7</w:t>
            </w:r>
            <w:r w:rsidRPr="0088742D">
              <w:rPr>
                <w:noProof/>
                <w:webHidden/>
                <w:sz w:val="22"/>
              </w:rPr>
              <w:fldChar w:fldCharType="end"/>
            </w:r>
          </w:hyperlink>
        </w:p>
        <w:p w14:paraId="7D7819D6" w14:textId="0282A5D6" w:rsidR="0088742D" w:rsidRPr="0088742D" w:rsidRDefault="0088742D" w:rsidP="0088742D">
          <w:pPr>
            <w:pStyle w:val="TOC2"/>
            <w:tabs>
              <w:tab w:val="left" w:pos="960"/>
              <w:tab w:val="right" w:leader="dot" w:pos="9016"/>
            </w:tabs>
            <w:spacing w:line="240" w:lineRule="exact"/>
            <w:rPr>
              <w:rFonts w:eastAsiaTheme="minorEastAsia"/>
              <w:b w:val="0"/>
              <w:bCs w:val="0"/>
              <w:noProof/>
              <w:sz w:val="22"/>
              <w:lang w:eastAsia="en-GB"/>
            </w:rPr>
          </w:pPr>
          <w:hyperlink w:anchor="_Toc38369979" w:history="1">
            <w:r w:rsidRPr="0088742D">
              <w:rPr>
                <w:rStyle w:val="Hyperlink"/>
                <w:noProof/>
                <w:sz w:val="22"/>
              </w:rPr>
              <w:t>2.3</w:t>
            </w:r>
            <w:r w:rsidRPr="0088742D">
              <w:rPr>
                <w:rFonts w:eastAsiaTheme="minorEastAsia"/>
                <w:b w:val="0"/>
                <w:bCs w:val="0"/>
                <w:noProof/>
                <w:sz w:val="22"/>
                <w:lang w:eastAsia="en-GB"/>
              </w:rPr>
              <w:tab/>
            </w:r>
            <w:r w:rsidRPr="0088742D">
              <w:rPr>
                <w:rStyle w:val="Hyperlink"/>
                <w:noProof/>
                <w:sz w:val="22"/>
              </w:rPr>
              <w:t>Responsibilities of Clinical Handover project team</w:t>
            </w:r>
            <w:r w:rsidRPr="0088742D">
              <w:rPr>
                <w:noProof/>
                <w:webHidden/>
                <w:sz w:val="22"/>
              </w:rPr>
              <w:tab/>
            </w:r>
            <w:r w:rsidRPr="0088742D">
              <w:rPr>
                <w:noProof/>
                <w:webHidden/>
                <w:sz w:val="22"/>
              </w:rPr>
              <w:fldChar w:fldCharType="begin"/>
            </w:r>
            <w:r w:rsidRPr="0088742D">
              <w:rPr>
                <w:noProof/>
                <w:webHidden/>
                <w:sz w:val="22"/>
              </w:rPr>
              <w:instrText xml:space="preserve"> PAGEREF _Toc38369979 \h </w:instrText>
            </w:r>
            <w:r w:rsidRPr="0088742D">
              <w:rPr>
                <w:noProof/>
                <w:webHidden/>
                <w:sz w:val="22"/>
              </w:rPr>
            </w:r>
            <w:r w:rsidRPr="0088742D">
              <w:rPr>
                <w:noProof/>
                <w:webHidden/>
                <w:sz w:val="22"/>
              </w:rPr>
              <w:fldChar w:fldCharType="separate"/>
            </w:r>
            <w:r w:rsidRPr="0088742D">
              <w:rPr>
                <w:noProof/>
                <w:webHidden/>
                <w:sz w:val="22"/>
              </w:rPr>
              <w:t>8</w:t>
            </w:r>
            <w:r w:rsidRPr="0088742D">
              <w:rPr>
                <w:noProof/>
                <w:webHidden/>
                <w:sz w:val="22"/>
              </w:rPr>
              <w:fldChar w:fldCharType="end"/>
            </w:r>
          </w:hyperlink>
        </w:p>
        <w:p w14:paraId="03843004" w14:textId="29CE143E" w:rsidR="0088742D" w:rsidRPr="0088742D" w:rsidRDefault="0088742D" w:rsidP="0088742D">
          <w:pPr>
            <w:pStyle w:val="TOC2"/>
            <w:tabs>
              <w:tab w:val="left" w:pos="960"/>
              <w:tab w:val="right" w:leader="dot" w:pos="9016"/>
            </w:tabs>
            <w:spacing w:line="240" w:lineRule="exact"/>
            <w:rPr>
              <w:rFonts w:eastAsiaTheme="minorEastAsia"/>
              <w:b w:val="0"/>
              <w:bCs w:val="0"/>
              <w:noProof/>
              <w:sz w:val="22"/>
              <w:lang w:eastAsia="en-GB"/>
            </w:rPr>
          </w:pPr>
          <w:hyperlink w:anchor="_Toc38369980" w:history="1">
            <w:r w:rsidRPr="0088742D">
              <w:rPr>
                <w:rStyle w:val="Hyperlink"/>
                <w:noProof/>
                <w:sz w:val="22"/>
              </w:rPr>
              <w:t>2.4</w:t>
            </w:r>
            <w:r w:rsidRPr="0088742D">
              <w:rPr>
                <w:rFonts w:eastAsiaTheme="minorEastAsia"/>
                <w:b w:val="0"/>
                <w:bCs w:val="0"/>
                <w:noProof/>
                <w:sz w:val="22"/>
                <w:lang w:eastAsia="en-GB"/>
              </w:rPr>
              <w:tab/>
            </w:r>
            <w:r w:rsidRPr="0088742D">
              <w:rPr>
                <w:rStyle w:val="Hyperlink"/>
                <w:noProof/>
                <w:sz w:val="22"/>
              </w:rPr>
              <w:t>Determine governance arrangements and develop a project plan</w:t>
            </w:r>
            <w:r w:rsidRPr="0088742D">
              <w:rPr>
                <w:noProof/>
                <w:webHidden/>
                <w:sz w:val="22"/>
              </w:rPr>
              <w:tab/>
            </w:r>
            <w:r w:rsidRPr="0088742D">
              <w:rPr>
                <w:noProof/>
                <w:webHidden/>
                <w:sz w:val="22"/>
              </w:rPr>
              <w:fldChar w:fldCharType="begin"/>
            </w:r>
            <w:r w:rsidRPr="0088742D">
              <w:rPr>
                <w:noProof/>
                <w:webHidden/>
                <w:sz w:val="22"/>
              </w:rPr>
              <w:instrText xml:space="preserve"> PAGEREF _Toc38369980 \h </w:instrText>
            </w:r>
            <w:r w:rsidRPr="0088742D">
              <w:rPr>
                <w:noProof/>
                <w:webHidden/>
                <w:sz w:val="22"/>
              </w:rPr>
            </w:r>
            <w:r w:rsidRPr="0088742D">
              <w:rPr>
                <w:noProof/>
                <w:webHidden/>
                <w:sz w:val="22"/>
              </w:rPr>
              <w:fldChar w:fldCharType="separate"/>
            </w:r>
            <w:r w:rsidRPr="0088742D">
              <w:rPr>
                <w:noProof/>
                <w:webHidden/>
                <w:sz w:val="22"/>
              </w:rPr>
              <w:t>9</w:t>
            </w:r>
            <w:r w:rsidRPr="0088742D">
              <w:rPr>
                <w:noProof/>
                <w:webHidden/>
                <w:sz w:val="22"/>
              </w:rPr>
              <w:fldChar w:fldCharType="end"/>
            </w:r>
          </w:hyperlink>
        </w:p>
        <w:p w14:paraId="0132B3F1" w14:textId="2E6AB70E" w:rsidR="0088742D" w:rsidRPr="0088742D" w:rsidRDefault="0088742D" w:rsidP="0088742D">
          <w:pPr>
            <w:pStyle w:val="TOC2"/>
            <w:tabs>
              <w:tab w:val="left" w:pos="960"/>
              <w:tab w:val="right" w:leader="dot" w:pos="9016"/>
            </w:tabs>
            <w:spacing w:line="240" w:lineRule="exact"/>
            <w:rPr>
              <w:rFonts w:eastAsiaTheme="minorEastAsia"/>
              <w:b w:val="0"/>
              <w:bCs w:val="0"/>
              <w:noProof/>
              <w:sz w:val="22"/>
              <w:lang w:eastAsia="en-GB"/>
            </w:rPr>
          </w:pPr>
          <w:hyperlink w:anchor="_Toc38369981" w:history="1">
            <w:r w:rsidRPr="0088742D">
              <w:rPr>
                <w:rStyle w:val="Hyperlink"/>
                <w:noProof/>
                <w:sz w:val="22"/>
              </w:rPr>
              <w:t>2.5</w:t>
            </w:r>
            <w:r w:rsidRPr="0088742D">
              <w:rPr>
                <w:rFonts w:eastAsiaTheme="minorEastAsia"/>
                <w:b w:val="0"/>
                <w:bCs w:val="0"/>
                <w:noProof/>
                <w:sz w:val="22"/>
                <w:lang w:eastAsia="en-GB"/>
              </w:rPr>
              <w:tab/>
            </w:r>
            <w:r w:rsidRPr="0088742D">
              <w:rPr>
                <w:rStyle w:val="Hyperlink"/>
                <w:noProof/>
                <w:sz w:val="22"/>
              </w:rPr>
              <w:t>Allocate resources to the project</w:t>
            </w:r>
            <w:r w:rsidRPr="0088742D">
              <w:rPr>
                <w:noProof/>
                <w:webHidden/>
                <w:sz w:val="22"/>
              </w:rPr>
              <w:tab/>
            </w:r>
            <w:r w:rsidRPr="0088742D">
              <w:rPr>
                <w:noProof/>
                <w:webHidden/>
                <w:sz w:val="22"/>
              </w:rPr>
              <w:fldChar w:fldCharType="begin"/>
            </w:r>
            <w:r w:rsidRPr="0088742D">
              <w:rPr>
                <w:noProof/>
                <w:webHidden/>
                <w:sz w:val="22"/>
              </w:rPr>
              <w:instrText xml:space="preserve"> PAGEREF _Toc38369981 \h </w:instrText>
            </w:r>
            <w:r w:rsidRPr="0088742D">
              <w:rPr>
                <w:noProof/>
                <w:webHidden/>
                <w:sz w:val="22"/>
              </w:rPr>
            </w:r>
            <w:r w:rsidRPr="0088742D">
              <w:rPr>
                <w:noProof/>
                <w:webHidden/>
                <w:sz w:val="22"/>
              </w:rPr>
              <w:fldChar w:fldCharType="separate"/>
            </w:r>
            <w:r w:rsidRPr="0088742D">
              <w:rPr>
                <w:noProof/>
                <w:webHidden/>
                <w:sz w:val="22"/>
              </w:rPr>
              <w:t>11</w:t>
            </w:r>
            <w:r w:rsidRPr="0088742D">
              <w:rPr>
                <w:noProof/>
                <w:webHidden/>
                <w:sz w:val="22"/>
              </w:rPr>
              <w:fldChar w:fldCharType="end"/>
            </w:r>
          </w:hyperlink>
        </w:p>
        <w:p w14:paraId="112DD7A8" w14:textId="41D8460E" w:rsidR="0088742D" w:rsidRPr="0088742D" w:rsidRDefault="0088742D" w:rsidP="0088742D">
          <w:pPr>
            <w:pStyle w:val="TOC2"/>
            <w:tabs>
              <w:tab w:val="left" w:pos="960"/>
              <w:tab w:val="right" w:leader="dot" w:pos="9016"/>
            </w:tabs>
            <w:spacing w:line="240" w:lineRule="exact"/>
            <w:rPr>
              <w:rFonts w:eastAsiaTheme="minorEastAsia"/>
              <w:b w:val="0"/>
              <w:bCs w:val="0"/>
              <w:noProof/>
              <w:sz w:val="22"/>
              <w:lang w:eastAsia="en-GB"/>
            </w:rPr>
          </w:pPr>
          <w:hyperlink w:anchor="_Toc38369982" w:history="1">
            <w:r w:rsidRPr="0088742D">
              <w:rPr>
                <w:rStyle w:val="Hyperlink"/>
                <w:noProof/>
                <w:sz w:val="22"/>
              </w:rPr>
              <w:t>2.6</w:t>
            </w:r>
            <w:r w:rsidRPr="0088742D">
              <w:rPr>
                <w:rFonts w:eastAsiaTheme="minorEastAsia"/>
                <w:b w:val="0"/>
                <w:bCs w:val="0"/>
                <w:noProof/>
                <w:sz w:val="22"/>
                <w:lang w:eastAsia="en-GB"/>
              </w:rPr>
              <w:tab/>
            </w:r>
            <w:r w:rsidRPr="0088742D">
              <w:rPr>
                <w:rStyle w:val="Hyperlink"/>
                <w:noProof/>
                <w:sz w:val="22"/>
              </w:rPr>
              <w:t>Assess current barriers and facilitators to change</w:t>
            </w:r>
            <w:r w:rsidRPr="0088742D">
              <w:rPr>
                <w:noProof/>
                <w:webHidden/>
                <w:sz w:val="22"/>
              </w:rPr>
              <w:tab/>
            </w:r>
            <w:r w:rsidRPr="0088742D">
              <w:rPr>
                <w:noProof/>
                <w:webHidden/>
                <w:sz w:val="22"/>
              </w:rPr>
              <w:fldChar w:fldCharType="begin"/>
            </w:r>
            <w:r w:rsidRPr="0088742D">
              <w:rPr>
                <w:noProof/>
                <w:webHidden/>
                <w:sz w:val="22"/>
              </w:rPr>
              <w:instrText xml:space="preserve"> PAGEREF _Toc38369982 \h </w:instrText>
            </w:r>
            <w:r w:rsidRPr="0088742D">
              <w:rPr>
                <w:noProof/>
                <w:webHidden/>
                <w:sz w:val="22"/>
              </w:rPr>
            </w:r>
            <w:r w:rsidRPr="0088742D">
              <w:rPr>
                <w:noProof/>
                <w:webHidden/>
                <w:sz w:val="22"/>
              </w:rPr>
              <w:fldChar w:fldCharType="separate"/>
            </w:r>
            <w:r w:rsidRPr="0088742D">
              <w:rPr>
                <w:noProof/>
                <w:webHidden/>
                <w:sz w:val="22"/>
              </w:rPr>
              <w:t>11</w:t>
            </w:r>
            <w:r w:rsidRPr="0088742D">
              <w:rPr>
                <w:noProof/>
                <w:webHidden/>
                <w:sz w:val="22"/>
              </w:rPr>
              <w:fldChar w:fldCharType="end"/>
            </w:r>
          </w:hyperlink>
        </w:p>
        <w:p w14:paraId="26B6F6DD" w14:textId="07C0401B" w:rsidR="0088742D" w:rsidRPr="0088742D" w:rsidRDefault="0088742D" w:rsidP="0088742D">
          <w:pPr>
            <w:pStyle w:val="TOC2"/>
            <w:tabs>
              <w:tab w:val="left" w:pos="960"/>
              <w:tab w:val="right" w:leader="dot" w:pos="9016"/>
            </w:tabs>
            <w:spacing w:line="240" w:lineRule="exact"/>
            <w:rPr>
              <w:rFonts w:eastAsiaTheme="minorEastAsia"/>
              <w:b w:val="0"/>
              <w:bCs w:val="0"/>
              <w:noProof/>
              <w:sz w:val="22"/>
              <w:lang w:eastAsia="en-GB"/>
            </w:rPr>
          </w:pPr>
          <w:hyperlink w:anchor="_Toc38369983" w:history="1">
            <w:r w:rsidRPr="0088742D">
              <w:rPr>
                <w:rStyle w:val="Hyperlink"/>
                <w:noProof/>
                <w:sz w:val="22"/>
              </w:rPr>
              <w:t>2.7</w:t>
            </w:r>
            <w:r w:rsidRPr="0088742D">
              <w:rPr>
                <w:rFonts w:eastAsiaTheme="minorEastAsia"/>
                <w:b w:val="0"/>
                <w:bCs w:val="0"/>
                <w:noProof/>
                <w:sz w:val="22"/>
                <w:lang w:eastAsia="en-GB"/>
              </w:rPr>
              <w:tab/>
            </w:r>
            <w:r w:rsidRPr="0088742D">
              <w:rPr>
                <w:rStyle w:val="Hyperlink"/>
                <w:noProof/>
                <w:sz w:val="22"/>
              </w:rPr>
              <w:t>Identify project stakeholders</w:t>
            </w:r>
            <w:r w:rsidRPr="0088742D">
              <w:rPr>
                <w:noProof/>
                <w:webHidden/>
                <w:sz w:val="22"/>
              </w:rPr>
              <w:tab/>
            </w:r>
            <w:r w:rsidRPr="0088742D">
              <w:rPr>
                <w:noProof/>
                <w:webHidden/>
                <w:sz w:val="22"/>
              </w:rPr>
              <w:fldChar w:fldCharType="begin"/>
            </w:r>
            <w:r w:rsidRPr="0088742D">
              <w:rPr>
                <w:noProof/>
                <w:webHidden/>
                <w:sz w:val="22"/>
              </w:rPr>
              <w:instrText xml:space="preserve"> PAGEREF _Toc38369983 \h </w:instrText>
            </w:r>
            <w:r w:rsidRPr="0088742D">
              <w:rPr>
                <w:noProof/>
                <w:webHidden/>
                <w:sz w:val="22"/>
              </w:rPr>
            </w:r>
            <w:r w:rsidRPr="0088742D">
              <w:rPr>
                <w:noProof/>
                <w:webHidden/>
                <w:sz w:val="22"/>
              </w:rPr>
              <w:fldChar w:fldCharType="separate"/>
            </w:r>
            <w:r w:rsidRPr="0088742D">
              <w:rPr>
                <w:noProof/>
                <w:webHidden/>
                <w:sz w:val="22"/>
              </w:rPr>
              <w:t>12</w:t>
            </w:r>
            <w:r w:rsidRPr="0088742D">
              <w:rPr>
                <w:noProof/>
                <w:webHidden/>
                <w:sz w:val="22"/>
              </w:rPr>
              <w:fldChar w:fldCharType="end"/>
            </w:r>
          </w:hyperlink>
        </w:p>
        <w:p w14:paraId="54294F6B" w14:textId="67634A17" w:rsidR="0088742D" w:rsidRPr="0088742D" w:rsidRDefault="0088742D" w:rsidP="0088742D">
          <w:pPr>
            <w:pStyle w:val="TOC1"/>
            <w:tabs>
              <w:tab w:val="left" w:pos="482"/>
              <w:tab w:val="right" w:leader="dot" w:pos="9016"/>
            </w:tabs>
            <w:spacing w:line="240" w:lineRule="exact"/>
            <w:rPr>
              <w:rFonts w:eastAsiaTheme="minorEastAsia"/>
              <w:b w:val="0"/>
              <w:bCs w:val="0"/>
              <w:i w:val="0"/>
              <w:iCs w:val="0"/>
              <w:noProof/>
              <w:sz w:val="22"/>
              <w:szCs w:val="22"/>
              <w:lang w:eastAsia="en-GB"/>
            </w:rPr>
          </w:pPr>
          <w:hyperlink w:anchor="_Toc38369984" w:history="1">
            <w:r w:rsidRPr="0088742D">
              <w:rPr>
                <w:rStyle w:val="Hyperlink"/>
                <w:noProof/>
                <w:sz w:val="22"/>
                <w:szCs w:val="22"/>
              </w:rPr>
              <w:t>3</w:t>
            </w:r>
            <w:r w:rsidRPr="0088742D">
              <w:rPr>
                <w:rFonts w:eastAsiaTheme="minorEastAsia"/>
                <w:b w:val="0"/>
                <w:bCs w:val="0"/>
                <w:i w:val="0"/>
                <w:iCs w:val="0"/>
                <w:noProof/>
                <w:sz w:val="22"/>
                <w:szCs w:val="22"/>
                <w:lang w:eastAsia="en-GB"/>
              </w:rPr>
              <w:tab/>
            </w:r>
            <w:r w:rsidRPr="0088742D">
              <w:rPr>
                <w:rStyle w:val="Hyperlink"/>
                <w:noProof/>
                <w:sz w:val="22"/>
                <w:szCs w:val="22"/>
              </w:rPr>
              <w:t>Organisational leadership</w:t>
            </w:r>
            <w:r w:rsidRPr="0088742D">
              <w:rPr>
                <w:noProof/>
                <w:webHidden/>
                <w:sz w:val="22"/>
                <w:szCs w:val="22"/>
              </w:rPr>
              <w:tab/>
            </w:r>
            <w:r w:rsidRPr="0088742D">
              <w:rPr>
                <w:noProof/>
                <w:webHidden/>
                <w:sz w:val="22"/>
                <w:szCs w:val="22"/>
              </w:rPr>
              <w:fldChar w:fldCharType="begin"/>
            </w:r>
            <w:r w:rsidRPr="0088742D">
              <w:rPr>
                <w:noProof/>
                <w:webHidden/>
                <w:sz w:val="22"/>
                <w:szCs w:val="22"/>
              </w:rPr>
              <w:instrText xml:space="preserve"> PAGEREF _Toc38369984 \h </w:instrText>
            </w:r>
            <w:r w:rsidRPr="0088742D">
              <w:rPr>
                <w:noProof/>
                <w:webHidden/>
                <w:sz w:val="22"/>
                <w:szCs w:val="22"/>
              </w:rPr>
            </w:r>
            <w:r w:rsidRPr="0088742D">
              <w:rPr>
                <w:noProof/>
                <w:webHidden/>
                <w:sz w:val="22"/>
                <w:szCs w:val="22"/>
              </w:rPr>
              <w:fldChar w:fldCharType="separate"/>
            </w:r>
            <w:r w:rsidRPr="0088742D">
              <w:rPr>
                <w:noProof/>
                <w:webHidden/>
                <w:sz w:val="22"/>
                <w:szCs w:val="22"/>
              </w:rPr>
              <w:t>14</w:t>
            </w:r>
            <w:r w:rsidRPr="0088742D">
              <w:rPr>
                <w:noProof/>
                <w:webHidden/>
                <w:sz w:val="22"/>
                <w:szCs w:val="22"/>
              </w:rPr>
              <w:fldChar w:fldCharType="end"/>
            </w:r>
          </w:hyperlink>
        </w:p>
        <w:p w14:paraId="4FD896DF" w14:textId="2BB724C1" w:rsidR="0088742D" w:rsidRPr="0088742D" w:rsidRDefault="0088742D" w:rsidP="0088742D">
          <w:pPr>
            <w:pStyle w:val="TOC2"/>
            <w:tabs>
              <w:tab w:val="left" w:pos="960"/>
              <w:tab w:val="right" w:leader="dot" w:pos="9016"/>
            </w:tabs>
            <w:spacing w:line="240" w:lineRule="exact"/>
            <w:rPr>
              <w:rFonts w:eastAsiaTheme="minorEastAsia"/>
              <w:b w:val="0"/>
              <w:bCs w:val="0"/>
              <w:noProof/>
              <w:sz w:val="22"/>
              <w:lang w:eastAsia="en-GB"/>
            </w:rPr>
          </w:pPr>
          <w:hyperlink w:anchor="_Toc38369985" w:history="1">
            <w:r w:rsidRPr="0088742D">
              <w:rPr>
                <w:rStyle w:val="Hyperlink"/>
                <w:noProof/>
                <w:sz w:val="22"/>
              </w:rPr>
              <w:t>3.1</w:t>
            </w:r>
            <w:r w:rsidRPr="0088742D">
              <w:rPr>
                <w:rFonts w:eastAsiaTheme="minorEastAsia"/>
                <w:b w:val="0"/>
                <w:bCs w:val="0"/>
                <w:noProof/>
                <w:sz w:val="22"/>
                <w:lang w:eastAsia="en-GB"/>
              </w:rPr>
              <w:tab/>
            </w:r>
            <w:r w:rsidRPr="0088742D">
              <w:rPr>
                <w:rStyle w:val="Hyperlink"/>
                <w:noProof/>
                <w:sz w:val="22"/>
              </w:rPr>
              <w:t>Analyse current issues and seek out good practice</w:t>
            </w:r>
            <w:r w:rsidRPr="0088742D">
              <w:rPr>
                <w:noProof/>
                <w:webHidden/>
                <w:sz w:val="22"/>
              </w:rPr>
              <w:tab/>
            </w:r>
            <w:r w:rsidRPr="0088742D">
              <w:rPr>
                <w:noProof/>
                <w:webHidden/>
                <w:sz w:val="22"/>
              </w:rPr>
              <w:fldChar w:fldCharType="begin"/>
            </w:r>
            <w:r w:rsidRPr="0088742D">
              <w:rPr>
                <w:noProof/>
                <w:webHidden/>
                <w:sz w:val="22"/>
              </w:rPr>
              <w:instrText xml:space="preserve"> PAGEREF _Toc38369985 \h </w:instrText>
            </w:r>
            <w:r w:rsidRPr="0088742D">
              <w:rPr>
                <w:noProof/>
                <w:webHidden/>
                <w:sz w:val="22"/>
              </w:rPr>
            </w:r>
            <w:r w:rsidRPr="0088742D">
              <w:rPr>
                <w:noProof/>
                <w:webHidden/>
                <w:sz w:val="22"/>
              </w:rPr>
              <w:fldChar w:fldCharType="separate"/>
            </w:r>
            <w:r w:rsidRPr="0088742D">
              <w:rPr>
                <w:noProof/>
                <w:webHidden/>
                <w:sz w:val="22"/>
              </w:rPr>
              <w:t>14</w:t>
            </w:r>
            <w:r w:rsidRPr="0088742D">
              <w:rPr>
                <w:noProof/>
                <w:webHidden/>
                <w:sz w:val="22"/>
              </w:rPr>
              <w:fldChar w:fldCharType="end"/>
            </w:r>
          </w:hyperlink>
        </w:p>
        <w:p w14:paraId="4320C6D2" w14:textId="56632CD8" w:rsidR="0088742D" w:rsidRPr="0088742D" w:rsidRDefault="0088742D" w:rsidP="0088742D">
          <w:pPr>
            <w:pStyle w:val="TOC2"/>
            <w:tabs>
              <w:tab w:val="left" w:pos="960"/>
              <w:tab w:val="right" w:leader="dot" w:pos="9016"/>
            </w:tabs>
            <w:spacing w:line="240" w:lineRule="exact"/>
            <w:rPr>
              <w:rFonts w:eastAsiaTheme="minorEastAsia"/>
              <w:b w:val="0"/>
              <w:bCs w:val="0"/>
              <w:noProof/>
              <w:sz w:val="22"/>
              <w:lang w:eastAsia="en-GB"/>
            </w:rPr>
          </w:pPr>
          <w:hyperlink w:anchor="_Toc38369986" w:history="1">
            <w:r w:rsidRPr="0088742D">
              <w:rPr>
                <w:rStyle w:val="Hyperlink"/>
                <w:noProof/>
                <w:sz w:val="22"/>
              </w:rPr>
              <w:t>3.2</w:t>
            </w:r>
            <w:r w:rsidRPr="0088742D">
              <w:rPr>
                <w:rFonts w:eastAsiaTheme="minorEastAsia"/>
                <w:b w:val="0"/>
                <w:bCs w:val="0"/>
                <w:noProof/>
                <w:sz w:val="22"/>
                <w:lang w:eastAsia="en-GB"/>
              </w:rPr>
              <w:tab/>
            </w:r>
            <w:r w:rsidRPr="0088742D">
              <w:rPr>
                <w:rStyle w:val="Hyperlink"/>
                <w:noProof/>
                <w:sz w:val="22"/>
              </w:rPr>
              <w:t>Collect baseline data and undertake a risk assessment</w:t>
            </w:r>
            <w:r w:rsidRPr="0088742D">
              <w:rPr>
                <w:noProof/>
                <w:webHidden/>
                <w:sz w:val="22"/>
              </w:rPr>
              <w:tab/>
            </w:r>
            <w:r w:rsidRPr="0088742D">
              <w:rPr>
                <w:noProof/>
                <w:webHidden/>
                <w:sz w:val="22"/>
              </w:rPr>
              <w:fldChar w:fldCharType="begin"/>
            </w:r>
            <w:r w:rsidRPr="0088742D">
              <w:rPr>
                <w:noProof/>
                <w:webHidden/>
                <w:sz w:val="22"/>
              </w:rPr>
              <w:instrText xml:space="preserve"> PAGEREF _Toc38369986 \h </w:instrText>
            </w:r>
            <w:r w:rsidRPr="0088742D">
              <w:rPr>
                <w:noProof/>
                <w:webHidden/>
                <w:sz w:val="22"/>
              </w:rPr>
            </w:r>
            <w:r w:rsidRPr="0088742D">
              <w:rPr>
                <w:noProof/>
                <w:webHidden/>
                <w:sz w:val="22"/>
              </w:rPr>
              <w:fldChar w:fldCharType="separate"/>
            </w:r>
            <w:r w:rsidRPr="0088742D">
              <w:rPr>
                <w:noProof/>
                <w:webHidden/>
                <w:sz w:val="22"/>
              </w:rPr>
              <w:t>14</w:t>
            </w:r>
            <w:r w:rsidRPr="0088742D">
              <w:rPr>
                <w:noProof/>
                <w:webHidden/>
                <w:sz w:val="22"/>
              </w:rPr>
              <w:fldChar w:fldCharType="end"/>
            </w:r>
          </w:hyperlink>
        </w:p>
        <w:p w14:paraId="5B785003" w14:textId="30B362C0" w:rsidR="0088742D" w:rsidRPr="0088742D" w:rsidRDefault="0088742D" w:rsidP="0088742D">
          <w:pPr>
            <w:pStyle w:val="TOC2"/>
            <w:tabs>
              <w:tab w:val="left" w:pos="960"/>
              <w:tab w:val="right" w:leader="dot" w:pos="9016"/>
            </w:tabs>
            <w:spacing w:line="240" w:lineRule="exact"/>
            <w:rPr>
              <w:rFonts w:eastAsiaTheme="minorEastAsia"/>
              <w:b w:val="0"/>
              <w:bCs w:val="0"/>
              <w:noProof/>
              <w:sz w:val="22"/>
              <w:lang w:eastAsia="en-GB"/>
            </w:rPr>
          </w:pPr>
          <w:hyperlink w:anchor="_Toc38369987" w:history="1">
            <w:r w:rsidRPr="0088742D">
              <w:rPr>
                <w:rStyle w:val="Hyperlink"/>
                <w:noProof/>
                <w:sz w:val="22"/>
              </w:rPr>
              <w:t>3.3</w:t>
            </w:r>
            <w:r w:rsidRPr="0088742D">
              <w:rPr>
                <w:rFonts w:eastAsiaTheme="minorEastAsia"/>
                <w:b w:val="0"/>
                <w:bCs w:val="0"/>
                <w:noProof/>
                <w:sz w:val="22"/>
                <w:lang w:eastAsia="en-GB"/>
              </w:rPr>
              <w:tab/>
            </w:r>
            <w:r w:rsidRPr="0088742D">
              <w:rPr>
                <w:rStyle w:val="Hyperlink"/>
                <w:noProof/>
                <w:sz w:val="22"/>
              </w:rPr>
              <w:t>Identify other safety and quality initiatives</w:t>
            </w:r>
            <w:r w:rsidRPr="0088742D">
              <w:rPr>
                <w:noProof/>
                <w:webHidden/>
                <w:sz w:val="22"/>
              </w:rPr>
              <w:tab/>
            </w:r>
            <w:r w:rsidRPr="0088742D">
              <w:rPr>
                <w:noProof/>
                <w:webHidden/>
                <w:sz w:val="22"/>
              </w:rPr>
              <w:fldChar w:fldCharType="begin"/>
            </w:r>
            <w:r w:rsidRPr="0088742D">
              <w:rPr>
                <w:noProof/>
                <w:webHidden/>
                <w:sz w:val="22"/>
              </w:rPr>
              <w:instrText xml:space="preserve"> PAGEREF _Toc38369987 \h </w:instrText>
            </w:r>
            <w:r w:rsidRPr="0088742D">
              <w:rPr>
                <w:noProof/>
                <w:webHidden/>
                <w:sz w:val="22"/>
              </w:rPr>
            </w:r>
            <w:r w:rsidRPr="0088742D">
              <w:rPr>
                <w:noProof/>
                <w:webHidden/>
                <w:sz w:val="22"/>
              </w:rPr>
              <w:fldChar w:fldCharType="separate"/>
            </w:r>
            <w:r w:rsidRPr="0088742D">
              <w:rPr>
                <w:noProof/>
                <w:webHidden/>
                <w:sz w:val="22"/>
              </w:rPr>
              <w:t>14</w:t>
            </w:r>
            <w:r w:rsidRPr="0088742D">
              <w:rPr>
                <w:noProof/>
                <w:webHidden/>
                <w:sz w:val="22"/>
              </w:rPr>
              <w:fldChar w:fldCharType="end"/>
            </w:r>
          </w:hyperlink>
        </w:p>
        <w:p w14:paraId="31A2683F" w14:textId="04C8D01A" w:rsidR="0088742D" w:rsidRPr="0088742D" w:rsidRDefault="0088742D" w:rsidP="0088742D">
          <w:pPr>
            <w:pStyle w:val="TOC1"/>
            <w:tabs>
              <w:tab w:val="left" w:pos="482"/>
              <w:tab w:val="right" w:leader="dot" w:pos="9016"/>
            </w:tabs>
            <w:spacing w:line="240" w:lineRule="exact"/>
            <w:rPr>
              <w:rFonts w:eastAsiaTheme="minorEastAsia"/>
              <w:b w:val="0"/>
              <w:bCs w:val="0"/>
              <w:i w:val="0"/>
              <w:iCs w:val="0"/>
              <w:noProof/>
              <w:sz w:val="22"/>
              <w:szCs w:val="22"/>
              <w:lang w:eastAsia="en-GB"/>
            </w:rPr>
          </w:pPr>
          <w:hyperlink w:anchor="_Toc38369988" w:history="1">
            <w:r w:rsidRPr="0088742D">
              <w:rPr>
                <w:rStyle w:val="Hyperlink"/>
                <w:noProof/>
                <w:sz w:val="22"/>
                <w:szCs w:val="22"/>
              </w:rPr>
              <w:t>4</w:t>
            </w:r>
            <w:r w:rsidRPr="0088742D">
              <w:rPr>
                <w:rFonts w:eastAsiaTheme="minorEastAsia"/>
                <w:b w:val="0"/>
                <w:bCs w:val="0"/>
                <w:i w:val="0"/>
                <w:iCs w:val="0"/>
                <w:noProof/>
                <w:sz w:val="22"/>
                <w:szCs w:val="22"/>
                <w:lang w:eastAsia="en-GB"/>
              </w:rPr>
              <w:tab/>
            </w:r>
            <w:r w:rsidRPr="0088742D">
              <w:rPr>
                <w:rStyle w:val="Hyperlink"/>
                <w:noProof/>
                <w:sz w:val="22"/>
                <w:szCs w:val="22"/>
              </w:rPr>
              <w:t>Simple solution development</w:t>
            </w:r>
            <w:r w:rsidRPr="0088742D">
              <w:rPr>
                <w:noProof/>
                <w:webHidden/>
                <w:sz w:val="22"/>
                <w:szCs w:val="22"/>
              </w:rPr>
              <w:tab/>
            </w:r>
            <w:r w:rsidRPr="0088742D">
              <w:rPr>
                <w:noProof/>
                <w:webHidden/>
                <w:sz w:val="22"/>
                <w:szCs w:val="22"/>
              </w:rPr>
              <w:fldChar w:fldCharType="begin"/>
            </w:r>
            <w:r w:rsidRPr="0088742D">
              <w:rPr>
                <w:noProof/>
                <w:webHidden/>
                <w:sz w:val="22"/>
                <w:szCs w:val="22"/>
              </w:rPr>
              <w:instrText xml:space="preserve"> PAGEREF _Toc38369988 \h </w:instrText>
            </w:r>
            <w:r w:rsidRPr="0088742D">
              <w:rPr>
                <w:noProof/>
                <w:webHidden/>
                <w:sz w:val="22"/>
                <w:szCs w:val="22"/>
              </w:rPr>
            </w:r>
            <w:r w:rsidRPr="0088742D">
              <w:rPr>
                <w:noProof/>
                <w:webHidden/>
                <w:sz w:val="22"/>
                <w:szCs w:val="22"/>
              </w:rPr>
              <w:fldChar w:fldCharType="separate"/>
            </w:r>
            <w:r w:rsidRPr="0088742D">
              <w:rPr>
                <w:noProof/>
                <w:webHidden/>
                <w:sz w:val="22"/>
                <w:szCs w:val="22"/>
              </w:rPr>
              <w:t>15</w:t>
            </w:r>
            <w:r w:rsidRPr="0088742D">
              <w:rPr>
                <w:noProof/>
                <w:webHidden/>
                <w:sz w:val="22"/>
                <w:szCs w:val="22"/>
              </w:rPr>
              <w:fldChar w:fldCharType="end"/>
            </w:r>
          </w:hyperlink>
        </w:p>
        <w:p w14:paraId="3E85F49B" w14:textId="284B7F3F" w:rsidR="0088742D" w:rsidRPr="0088742D" w:rsidRDefault="0088742D" w:rsidP="0088742D">
          <w:pPr>
            <w:pStyle w:val="TOC2"/>
            <w:tabs>
              <w:tab w:val="left" w:pos="960"/>
              <w:tab w:val="right" w:leader="dot" w:pos="9016"/>
            </w:tabs>
            <w:spacing w:line="240" w:lineRule="exact"/>
            <w:rPr>
              <w:rFonts w:eastAsiaTheme="minorEastAsia"/>
              <w:b w:val="0"/>
              <w:bCs w:val="0"/>
              <w:noProof/>
              <w:sz w:val="22"/>
              <w:lang w:eastAsia="en-GB"/>
            </w:rPr>
          </w:pPr>
          <w:hyperlink w:anchor="_Toc38369989" w:history="1">
            <w:r w:rsidRPr="0088742D">
              <w:rPr>
                <w:rStyle w:val="Hyperlink"/>
                <w:noProof/>
                <w:sz w:val="22"/>
              </w:rPr>
              <w:t>4.1</w:t>
            </w:r>
            <w:r w:rsidRPr="0088742D">
              <w:rPr>
                <w:rFonts w:eastAsiaTheme="minorEastAsia"/>
                <w:b w:val="0"/>
                <w:bCs w:val="0"/>
                <w:noProof/>
                <w:sz w:val="22"/>
                <w:lang w:eastAsia="en-GB"/>
              </w:rPr>
              <w:tab/>
            </w:r>
            <w:r w:rsidRPr="0088742D">
              <w:rPr>
                <w:rStyle w:val="Hyperlink"/>
                <w:noProof/>
                <w:sz w:val="22"/>
              </w:rPr>
              <w:t>Flow chart your current handover processes against the principles of medicines optimisation</w:t>
            </w:r>
            <w:r w:rsidRPr="0088742D">
              <w:rPr>
                <w:noProof/>
                <w:webHidden/>
                <w:sz w:val="22"/>
              </w:rPr>
              <w:tab/>
            </w:r>
            <w:r w:rsidRPr="0088742D">
              <w:rPr>
                <w:noProof/>
                <w:webHidden/>
                <w:sz w:val="22"/>
              </w:rPr>
              <w:fldChar w:fldCharType="begin"/>
            </w:r>
            <w:r w:rsidRPr="0088742D">
              <w:rPr>
                <w:noProof/>
                <w:webHidden/>
                <w:sz w:val="22"/>
              </w:rPr>
              <w:instrText xml:space="preserve"> PAGEREF _Toc38369989 \h </w:instrText>
            </w:r>
            <w:r w:rsidRPr="0088742D">
              <w:rPr>
                <w:noProof/>
                <w:webHidden/>
                <w:sz w:val="22"/>
              </w:rPr>
            </w:r>
            <w:r w:rsidRPr="0088742D">
              <w:rPr>
                <w:noProof/>
                <w:webHidden/>
                <w:sz w:val="22"/>
              </w:rPr>
              <w:fldChar w:fldCharType="separate"/>
            </w:r>
            <w:r w:rsidRPr="0088742D">
              <w:rPr>
                <w:noProof/>
                <w:webHidden/>
                <w:sz w:val="22"/>
              </w:rPr>
              <w:t>15</w:t>
            </w:r>
            <w:r w:rsidRPr="0088742D">
              <w:rPr>
                <w:noProof/>
                <w:webHidden/>
                <w:sz w:val="22"/>
              </w:rPr>
              <w:fldChar w:fldCharType="end"/>
            </w:r>
          </w:hyperlink>
        </w:p>
        <w:p w14:paraId="3405AF3B" w14:textId="04977737" w:rsidR="0088742D" w:rsidRPr="0088742D" w:rsidRDefault="0088742D" w:rsidP="0088742D">
          <w:pPr>
            <w:pStyle w:val="TOC2"/>
            <w:tabs>
              <w:tab w:val="left" w:pos="960"/>
              <w:tab w:val="right" w:leader="dot" w:pos="9016"/>
            </w:tabs>
            <w:spacing w:line="240" w:lineRule="exact"/>
            <w:rPr>
              <w:rFonts w:eastAsiaTheme="minorEastAsia"/>
              <w:b w:val="0"/>
              <w:bCs w:val="0"/>
              <w:noProof/>
              <w:sz w:val="22"/>
              <w:lang w:eastAsia="en-GB"/>
            </w:rPr>
          </w:pPr>
          <w:hyperlink w:anchor="_Toc38369990" w:history="1">
            <w:r w:rsidRPr="0088742D">
              <w:rPr>
                <w:rStyle w:val="Hyperlink"/>
                <w:noProof/>
                <w:sz w:val="22"/>
              </w:rPr>
              <w:t>4.2</w:t>
            </w:r>
            <w:r w:rsidRPr="0088742D">
              <w:rPr>
                <w:rFonts w:eastAsiaTheme="minorEastAsia"/>
                <w:b w:val="0"/>
                <w:bCs w:val="0"/>
                <w:noProof/>
                <w:sz w:val="22"/>
                <w:lang w:eastAsia="en-GB"/>
              </w:rPr>
              <w:tab/>
            </w:r>
            <w:r w:rsidRPr="0088742D">
              <w:rPr>
                <w:rStyle w:val="Hyperlink"/>
                <w:noProof/>
                <w:sz w:val="22"/>
              </w:rPr>
              <w:t>Design an improved handover solution</w:t>
            </w:r>
            <w:r w:rsidRPr="0088742D">
              <w:rPr>
                <w:noProof/>
                <w:webHidden/>
                <w:sz w:val="22"/>
              </w:rPr>
              <w:tab/>
            </w:r>
            <w:r w:rsidRPr="0088742D">
              <w:rPr>
                <w:noProof/>
                <w:webHidden/>
                <w:sz w:val="22"/>
              </w:rPr>
              <w:fldChar w:fldCharType="begin"/>
            </w:r>
            <w:r w:rsidRPr="0088742D">
              <w:rPr>
                <w:noProof/>
                <w:webHidden/>
                <w:sz w:val="22"/>
              </w:rPr>
              <w:instrText xml:space="preserve"> PAGEREF _Toc38369990 \h </w:instrText>
            </w:r>
            <w:r w:rsidRPr="0088742D">
              <w:rPr>
                <w:noProof/>
                <w:webHidden/>
                <w:sz w:val="22"/>
              </w:rPr>
            </w:r>
            <w:r w:rsidRPr="0088742D">
              <w:rPr>
                <w:noProof/>
                <w:webHidden/>
                <w:sz w:val="22"/>
              </w:rPr>
              <w:fldChar w:fldCharType="separate"/>
            </w:r>
            <w:r w:rsidRPr="0088742D">
              <w:rPr>
                <w:noProof/>
                <w:webHidden/>
                <w:sz w:val="22"/>
              </w:rPr>
              <w:t>16</w:t>
            </w:r>
            <w:r w:rsidRPr="0088742D">
              <w:rPr>
                <w:noProof/>
                <w:webHidden/>
                <w:sz w:val="22"/>
              </w:rPr>
              <w:fldChar w:fldCharType="end"/>
            </w:r>
          </w:hyperlink>
        </w:p>
        <w:p w14:paraId="59204ADD" w14:textId="4FDD53BB" w:rsidR="0088742D" w:rsidRPr="0088742D" w:rsidRDefault="0088742D" w:rsidP="0088742D">
          <w:pPr>
            <w:pStyle w:val="TOC2"/>
            <w:tabs>
              <w:tab w:val="left" w:pos="960"/>
              <w:tab w:val="right" w:leader="dot" w:pos="9016"/>
            </w:tabs>
            <w:spacing w:line="240" w:lineRule="exact"/>
            <w:rPr>
              <w:rFonts w:eastAsiaTheme="minorEastAsia"/>
              <w:b w:val="0"/>
              <w:bCs w:val="0"/>
              <w:noProof/>
              <w:sz w:val="22"/>
              <w:lang w:eastAsia="en-GB"/>
            </w:rPr>
          </w:pPr>
          <w:hyperlink w:anchor="_Toc38369991" w:history="1">
            <w:r w:rsidRPr="0088742D">
              <w:rPr>
                <w:rStyle w:val="Hyperlink"/>
                <w:noProof/>
                <w:sz w:val="22"/>
              </w:rPr>
              <w:t>4.3</w:t>
            </w:r>
            <w:r w:rsidRPr="0088742D">
              <w:rPr>
                <w:rFonts w:eastAsiaTheme="minorEastAsia"/>
                <w:b w:val="0"/>
                <w:bCs w:val="0"/>
                <w:noProof/>
                <w:sz w:val="22"/>
                <w:lang w:eastAsia="en-GB"/>
              </w:rPr>
              <w:tab/>
            </w:r>
            <w:r w:rsidRPr="0088742D">
              <w:rPr>
                <w:rStyle w:val="Hyperlink"/>
                <w:noProof/>
                <w:sz w:val="22"/>
              </w:rPr>
              <w:t>Develop tools to help implement the solution</w:t>
            </w:r>
            <w:r w:rsidRPr="0088742D">
              <w:rPr>
                <w:noProof/>
                <w:webHidden/>
                <w:sz w:val="22"/>
              </w:rPr>
              <w:tab/>
            </w:r>
            <w:r w:rsidRPr="0088742D">
              <w:rPr>
                <w:noProof/>
                <w:webHidden/>
                <w:sz w:val="22"/>
              </w:rPr>
              <w:fldChar w:fldCharType="begin"/>
            </w:r>
            <w:r w:rsidRPr="0088742D">
              <w:rPr>
                <w:noProof/>
                <w:webHidden/>
                <w:sz w:val="22"/>
              </w:rPr>
              <w:instrText xml:space="preserve"> PAGEREF _Toc38369991 \h </w:instrText>
            </w:r>
            <w:r w:rsidRPr="0088742D">
              <w:rPr>
                <w:noProof/>
                <w:webHidden/>
                <w:sz w:val="22"/>
              </w:rPr>
            </w:r>
            <w:r w:rsidRPr="0088742D">
              <w:rPr>
                <w:noProof/>
                <w:webHidden/>
                <w:sz w:val="22"/>
              </w:rPr>
              <w:fldChar w:fldCharType="separate"/>
            </w:r>
            <w:r w:rsidRPr="0088742D">
              <w:rPr>
                <w:noProof/>
                <w:webHidden/>
                <w:sz w:val="22"/>
              </w:rPr>
              <w:t>16</w:t>
            </w:r>
            <w:r w:rsidRPr="0088742D">
              <w:rPr>
                <w:noProof/>
                <w:webHidden/>
                <w:sz w:val="22"/>
              </w:rPr>
              <w:fldChar w:fldCharType="end"/>
            </w:r>
          </w:hyperlink>
        </w:p>
        <w:p w14:paraId="46E4F7B9" w14:textId="4F5EF6A7" w:rsidR="0088742D" w:rsidRPr="0088742D" w:rsidRDefault="0088742D" w:rsidP="0088742D">
          <w:pPr>
            <w:pStyle w:val="TOC1"/>
            <w:tabs>
              <w:tab w:val="left" w:pos="482"/>
              <w:tab w:val="right" w:leader="dot" w:pos="9016"/>
            </w:tabs>
            <w:spacing w:line="240" w:lineRule="exact"/>
            <w:rPr>
              <w:rFonts w:eastAsiaTheme="minorEastAsia"/>
              <w:b w:val="0"/>
              <w:bCs w:val="0"/>
              <w:i w:val="0"/>
              <w:iCs w:val="0"/>
              <w:noProof/>
              <w:sz w:val="22"/>
              <w:szCs w:val="22"/>
              <w:lang w:eastAsia="en-GB"/>
            </w:rPr>
          </w:pPr>
          <w:hyperlink w:anchor="_Toc38369992" w:history="1">
            <w:r w:rsidRPr="0088742D">
              <w:rPr>
                <w:rStyle w:val="Hyperlink"/>
                <w:noProof/>
                <w:sz w:val="22"/>
                <w:szCs w:val="22"/>
              </w:rPr>
              <w:t>5</w:t>
            </w:r>
            <w:r w:rsidRPr="0088742D">
              <w:rPr>
                <w:rFonts w:eastAsiaTheme="minorEastAsia"/>
                <w:b w:val="0"/>
                <w:bCs w:val="0"/>
                <w:i w:val="0"/>
                <w:iCs w:val="0"/>
                <w:noProof/>
                <w:sz w:val="22"/>
                <w:szCs w:val="22"/>
                <w:lang w:eastAsia="en-GB"/>
              </w:rPr>
              <w:tab/>
            </w:r>
            <w:r w:rsidRPr="0088742D">
              <w:rPr>
                <w:rStyle w:val="Hyperlink"/>
                <w:noProof/>
                <w:sz w:val="22"/>
                <w:szCs w:val="22"/>
              </w:rPr>
              <w:t>Stakeholder engagement</w:t>
            </w:r>
            <w:r w:rsidRPr="0088742D">
              <w:rPr>
                <w:noProof/>
                <w:webHidden/>
                <w:sz w:val="22"/>
                <w:szCs w:val="22"/>
              </w:rPr>
              <w:tab/>
            </w:r>
            <w:r w:rsidRPr="0088742D">
              <w:rPr>
                <w:noProof/>
                <w:webHidden/>
                <w:sz w:val="22"/>
                <w:szCs w:val="22"/>
              </w:rPr>
              <w:fldChar w:fldCharType="begin"/>
            </w:r>
            <w:r w:rsidRPr="0088742D">
              <w:rPr>
                <w:noProof/>
                <w:webHidden/>
                <w:sz w:val="22"/>
                <w:szCs w:val="22"/>
              </w:rPr>
              <w:instrText xml:space="preserve"> PAGEREF _Toc38369992 \h </w:instrText>
            </w:r>
            <w:r w:rsidRPr="0088742D">
              <w:rPr>
                <w:noProof/>
                <w:webHidden/>
                <w:sz w:val="22"/>
                <w:szCs w:val="22"/>
              </w:rPr>
            </w:r>
            <w:r w:rsidRPr="0088742D">
              <w:rPr>
                <w:noProof/>
                <w:webHidden/>
                <w:sz w:val="22"/>
                <w:szCs w:val="22"/>
              </w:rPr>
              <w:fldChar w:fldCharType="separate"/>
            </w:r>
            <w:r w:rsidRPr="0088742D">
              <w:rPr>
                <w:noProof/>
                <w:webHidden/>
                <w:sz w:val="22"/>
                <w:szCs w:val="22"/>
              </w:rPr>
              <w:t>17</w:t>
            </w:r>
            <w:r w:rsidRPr="0088742D">
              <w:rPr>
                <w:noProof/>
                <w:webHidden/>
                <w:sz w:val="22"/>
                <w:szCs w:val="22"/>
              </w:rPr>
              <w:fldChar w:fldCharType="end"/>
            </w:r>
          </w:hyperlink>
        </w:p>
        <w:p w14:paraId="59003C36" w14:textId="64335B4D" w:rsidR="0088742D" w:rsidRPr="0088742D" w:rsidRDefault="0088742D" w:rsidP="0088742D">
          <w:pPr>
            <w:pStyle w:val="TOC2"/>
            <w:tabs>
              <w:tab w:val="left" w:pos="960"/>
              <w:tab w:val="right" w:leader="dot" w:pos="9016"/>
            </w:tabs>
            <w:spacing w:line="240" w:lineRule="exact"/>
            <w:rPr>
              <w:rFonts w:eastAsiaTheme="minorEastAsia"/>
              <w:b w:val="0"/>
              <w:bCs w:val="0"/>
              <w:noProof/>
              <w:sz w:val="22"/>
              <w:lang w:eastAsia="en-GB"/>
            </w:rPr>
          </w:pPr>
          <w:hyperlink w:anchor="_Toc38369993" w:history="1">
            <w:r w:rsidRPr="0088742D">
              <w:rPr>
                <w:rStyle w:val="Hyperlink"/>
                <w:noProof/>
                <w:sz w:val="22"/>
              </w:rPr>
              <w:t>5.1</w:t>
            </w:r>
            <w:r w:rsidRPr="0088742D">
              <w:rPr>
                <w:rFonts w:eastAsiaTheme="minorEastAsia"/>
                <w:b w:val="0"/>
                <w:bCs w:val="0"/>
                <w:noProof/>
                <w:sz w:val="22"/>
                <w:lang w:eastAsia="en-GB"/>
              </w:rPr>
              <w:tab/>
            </w:r>
            <w:r w:rsidRPr="0088742D">
              <w:rPr>
                <w:rStyle w:val="Hyperlink"/>
                <w:noProof/>
                <w:sz w:val="22"/>
              </w:rPr>
              <w:t>Develop a stakeholder engagement strategy</w:t>
            </w:r>
            <w:r w:rsidRPr="0088742D">
              <w:rPr>
                <w:noProof/>
                <w:webHidden/>
                <w:sz w:val="22"/>
              </w:rPr>
              <w:tab/>
            </w:r>
            <w:r w:rsidRPr="0088742D">
              <w:rPr>
                <w:noProof/>
                <w:webHidden/>
                <w:sz w:val="22"/>
              </w:rPr>
              <w:fldChar w:fldCharType="begin"/>
            </w:r>
            <w:r w:rsidRPr="0088742D">
              <w:rPr>
                <w:noProof/>
                <w:webHidden/>
                <w:sz w:val="22"/>
              </w:rPr>
              <w:instrText xml:space="preserve"> PAGEREF _Toc38369993 \h </w:instrText>
            </w:r>
            <w:r w:rsidRPr="0088742D">
              <w:rPr>
                <w:noProof/>
                <w:webHidden/>
                <w:sz w:val="22"/>
              </w:rPr>
            </w:r>
            <w:r w:rsidRPr="0088742D">
              <w:rPr>
                <w:noProof/>
                <w:webHidden/>
                <w:sz w:val="22"/>
              </w:rPr>
              <w:fldChar w:fldCharType="separate"/>
            </w:r>
            <w:r w:rsidRPr="0088742D">
              <w:rPr>
                <w:noProof/>
                <w:webHidden/>
                <w:sz w:val="22"/>
              </w:rPr>
              <w:t>17</w:t>
            </w:r>
            <w:r w:rsidRPr="0088742D">
              <w:rPr>
                <w:noProof/>
                <w:webHidden/>
                <w:sz w:val="22"/>
              </w:rPr>
              <w:fldChar w:fldCharType="end"/>
            </w:r>
          </w:hyperlink>
        </w:p>
        <w:p w14:paraId="7912D2CF" w14:textId="3C573D5E" w:rsidR="0088742D" w:rsidRPr="0088742D" w:rsidRDefault="0088742D" w:rsidP="0088742D">
          <w:pPr>
            <w:pStyle w:val="TOC2"/>
            <w:tabs>
              <w:tab w:val="left" w:pos="960"/>
              <w:tab w:val="right" w:leader="dot" w:pos="9016"/>
            </w:tabs>
            <w:spacing w:line="240" w:lineRule="exact"/>
            <w:rPr>
              <w:rFonts w:eastAsiaTheme="minorEastAsia"/>
              <w:b w:val="0"/>
              <w:bCs w:val="0"/>
              <w:noProof/>
              <w:sz w:val="22"/>
              <w:lang w:eastAsia="en-GB"/>
            </w:rPr>
          </w:pPr>
          <w:hyperlink w:anchor="_Toc38369994" w:history="1">
            <w:r w:rsidRPr="0088742D">
              <w:rPr>
                <w:rStyle w:val="Hyperlink"/>
                <w:noProof/>
                <w:sz w:val="22"/>
              </w:rPr>
              <w:t>5.2</w:t>
            </w:r>
            <w:r w:rsidRPr="0088742D">
              <w:rPr>
                <w:rFonts w:eastAsiaTheme="minorEastAsia"/>
                <w:b w:val="0"/>
                <w:bCs w:val="0"/>
                <w:noProof/>
                <w:sz w:val="22"/>
                <w:lang w:eastAsia="en-GB"/>
              </w:rPr>
              <w:tab/>
            </w:r>
            <w:r w:rsidRPr="0088742D">
              <w:rPr>
                <w:rStyle w:val="Hyperlink"/>
                <w:noProof/>
                <w:sz w:val="22"/>
              </w:rPr>
              <w:t>Develop marketing tools</w:t>
            </w:r>
            <w:r w:rsidRPr="0088742D">
              <w:rPr>
                <w:noProof/>
                <w:webHidden/>
                <w:sz w:val="22"/>
              </w:rPr>
              <w:tab/>
            </w:r>
            <w:r w:rsidRPr="0088742D">
              <w:rPr>
                <w:noProof/>
                <w:webHidden/>
                <w:sz w:val="22"/>
              </w:rPr>
              <w:fldChar w:fldCharType="begin"/>
            </w:r>
            <w:r w:rsidRPr="0088742D">
              <w:rPr>
                <w:noProof/>
                <w:webHidden/>
                <w:sz w:val="22"/>
              </w:rPr>
              <w:instrText xml:space="preserve"> PAGEREF _Toc38369994 \h </w:instrText>
            </w:r>
            <w:r w:rsidRPr="0088742D">
              <w:rPr>
                <w:noProof/>
                <w:webHidden/>
                <w:sz w:val="22"/>
              </w:rPr>
            </w:r>
            <w:r w:rsidRPr="0088742D">
              <w:rPr>
                <w:noProof/>
                <w:webHidden/>
                <w:sz w:val="22"/>
              </w:rPr>
              <w:fldChar w:fldCharType="separate"/>
            </w:r>
            <w:r w:rsidRPr="0088742D">
              <w:rPr>
                <w:noProof/>
                <w:webHidden/>
                <w:sz w:val="22"/>
              </w:rPr>
              <w:t>17</w:t>
            </w:r>
            <w:r w:rsidRPr="0088742D">
              <w:rPr>
                <w:noProof/>
                <w:webHidden/>
                <w:sz w:val="22"/>
              </w:rPr>
              <w:fldChar w:fldCharType="end"/>
            </w:r>
          </w:hyperlink>
        </w:p>
        <w:p w14:paraId="622E3E51" w14:textId="32A3EF12" w:rsidR="0088742D" w:rsidRPr="0088742D" w:rsidRDefault="0088742D" w:rsidP="0088742D">
          <w:pPr>
            <w:pStyle w:val="TOC2"/>
            <w:tabs>
              <w:tab w:val="left" w:pos="960"/>
              <w:tab w:val="right" w:leader="dot" w:pos="9016"/>
            </w:tabs>
            <w:spacing w:line="240" w:lineRule="exact"/>
            <w:rPr>
              <w:rFonts w:eastAsiaTheme="minorEastAsia"/>
              <w:b w:val="0"/>
              <w:bCs w:val="0"/>
              <w:noProof/>
              <w:sz w:val="22"/>
              <w:lang w:eastAsia="en-GB"/>
            </w:rPr>
          </w:pPr>
          <w:hyperlink w:anchor="_Toc38369995" w:history="1">
            <w:r w:rsidRPr="0088742D">
              <w:rPr>
                <w:rStyle w:val="Hyperlink"/>
                <w:noProof/>
                <w:sz w:val="22"/>
              </w:rPr>
              <w:t>5.3</w:t>
            </w:r>
            <w:r w:rsidRPr="0088742D">
              <w:rPr>
                <w:rFonts w:eastAsiaTheme="minorEastAsia"/>
                <w:b w:val="0"/>
                <w:bCs w:val="0"/>
                <w:noProof/>
                <w:sz w:val="22"/>
                <w:lang w:eastAsia="en-GB"/>
              </w:rPr>
              <w:tab/>
            </w:r>
            <w:r w:rsidRPr="0088742D">
              <w:rPr>
                <w:rStyle w:val="Hyperlink"/>
                <w:noProof/>
                <w:sz w:val="22"/>
              </w:rPr>
              <w:t>Engage change champions</w:t>
            </w:r>
            <w:r w:rsidRPr="0088742D">
              <w:rPr>
                <w:noProof/>
                <w:webHidden/>
                <w:sz w:val="22"/>
              </w:rPr>
              <w:tab/>
            </w:r>
            <w:r w:rsidRPr="0088742D">
              <w:rPr>
                <w:noProof/>
                <w:webHidden/>
                <w:sz w:val="22"/>
              </w:rPr>
              <w:fldChar w:fldCharType="begin"/>
            </w:r>
            <w:r w:rsidRPr="0088742D">
              <w:rPr>
                <w:noProof/>
                <w:webHidden/>
                <w:sz w:val="22"/>
              </w:rPr>
              <w:instrText xml:space="preserve"> PAGEREF _Toc38369995 \h </w:instrText>
            </w:r>
            <w:r w:rsidRPr="0088742D">
              <w:rPr>
                <w:noProof/>
                <w:webHidden/>
                <w:sz w:val="22"/>
              </w:rPr>
            </w:r>
            <w:r w:rsidRPr="0088742D">
              <w:rPr>
                <w:noProof/>
                <w:webHidden/>
                <w:sz w:val="22"/>
              </w:rPr>
              <w:fldChar w:fldCharType="separate"/>
            </w:r>
            <w:r w:rsidRPr="0088742D">
              <w:rPr>
                <w:noProof/>
                <w:webHidden/>
                <w:sz w:val="22"/>
              </w:rPr>
              <w:t>17</w:t>
            </w:r>
            <w:r w:rsidRPr="0088742D">
              <w:rPr>
                <w:noProof/>
                <w:webHidden/>
                <w:sz w:val="22"/>
              </w:rPr>
              <w:fldChar w:fldCharType="end"/>
            </w:r>
          </w:hyperlink>
        </w:p>
        <w:p w14:paraId="231991A7" w14:textId="5190E61F" w:rsidR="0088742D" w:rsidRPr="0088742D" w:rsidRDefault="0088742D" w:rsidP="0088742D">
          <w:pPr>
            <w:pStyle w:val="TOC1"/>
            <w:tabs>
              <w:tab w:val="left" w:pos="482"/>
              <w:tab w:val="right" w:leader="dot" w:pos="9016"/>
            </w:tabs>
            <w:spacing w:line="240" w:lineRule="exact"/>
            <w:rPr>
              <w:rFonts w:eastAsiaTheme="minorEastAsia"/>
              <w:b w:val="0"/>
              <w:bCs w:val="0"/>
              <w:i w:val="0"/>
              <w:iCs w:val="0"/>
              <w:noProof/>
              <w:sz w:val="22"/>
              <w:szCs w:val="22"/>
              <w:lang w:eastAsia="en-GB"/>
            </w:rPr>
          </w:pPr>
          <w:hyperlink w:anchor="_Toc38369996" w:history="1">
            <w:r w:rsidRPr="0088742D">
              <w:rPr>
                <w:rStyle w:val="Hyperlink"/>
                <w:noProof/>
                <w:sz w:val="22"/>
                <w:szCs w:val="22"/>
              </w:rPr>
              <w:t>6</w:t>
            </w:r>
            <w:r w:rsidRPr="0088742D">
              <w:rPr>
                <w:rFonts w:eastAsiaTheme="minorEastAsia"/>
                <w:b w:val="0"/>
                <w:bCs w:val="0"/>
                <w:i w:val="0"/>
                <w:iCs w:val="0"/>
                <w:noProof/>
                <w:sz w:val="22"/>
                <w:szCs w:val="22"/>
                <w:lang w:eastAsia="en-GB"/>
              </w:rPr>
              <w:tab/>
            </w:r>
            <w:r w:rsidRPr="0088742D">
              <w:rPr>
                <w:rStyle w:val="Hyperlink"/>
                <w:noProof/>
                <w:sz w:val="22"/>
                <w:szCs w:val="22"/>
              </w:rPr>
              <w:t>Implementation</w:t>
            </w:r>
            <w:r w:rsidRPr="0088742D">
              <w:rPr>
                <w:noProof/>
                <w:webHidden/>
                <w:sz w:val="22"/>
                <w:szCs w:val="22"/>
              </w:rPr>
              <w:tab/>
            </w:r>
            <w:r w:rsidRPr="0088742D">
              <w:rPr>
                <w:noProof/>
                <w:webHidden/>
                <w:sz w:val="22"/>
                <w:szCs w:val="22"/>
              </w:rPr>
              <w:fldChar w:fldCharType="begin"/>
            </w:r>
            <w:r w:rsidRPr="0088742D">
              <w:rPr>
                <w:noProof/>
                <w:webHidden/>
                <w:sz w:val="22"/>
                <w:szCs w:val="22"/>
              </w:rPr>
              <w:instrText xml:space="preserve"> PAGEREF _Toc38369996 \h </w:instrText>
            </w:r>
            <w:r w:rsidRPr="0088742D">
              <w:rPr>
                <w:noProof/>
                <w:webHidden/>
                <w:sz w:val="22"/>
                <w:szCs w:val="22"/>
              </w:rPr>
            </w:r>
            <w:r w:rsidRPr="0088742D">
              <w:rPr>
                <w:noProof/>
                <w:webHidden/>
                <w:sz w:val="22"/>
                <w:szCs w:val="22"/>
              </w:rPr>
              <w:fldChar w:fldCharType="separate"/>
            </w:r>
            <w:r w:rsidRPr="0088742D">
              <w:rPr>
                <w:noProof/>
                <w:webHidden/>
                <w:sz w:val="22"/>
                <w:szCs w:val="22"/>
              </w:rPr>
              <w:t>18</w:t>
            </w:r>
            <w:r w:rsidRPr="0088742D">
              <w:rPr>
                <w:noProof/>
                <w:webHidden/>
                <w:sz w:val="22"/>
                <w:szCs w:val="22"/>
              </w:rPr>
              <w:fldChar w:fldCharType="end"/>
            </w:r>
          </w:hyperlink>
        </w:p>
        <w:p w14:paraId="26F5808C" w14:textId="4B4D470E" w:rsidR="0088742D" w:rsidRPr="0088742D" w:rsidRDefault="0088742D" w:rsidP="0088742D">
          <w:pPr>
            <w:pStyle w:val="TOC2"/>
            <w:tabs>
              <w:tab w:val="left" w:pos="960"/>
              <w:tab w:val="right" w:leader="dot" w:pos="9016"/>
            </w:tabs>
            <w:spacing w:line="240" w:lineRule="exact"/>
            <w:rPr>
              <w:rFonts w:eastAsiaTheme="minorEastAsia"/>
              <w:b w:val="0"/>
              <w:bCs w:val="0"/>
              <w:noProof/>
              <w:sz w:val="22"/>
              <w:lang w:eastAsia="en-GB"/>
            </w:rPr>
          </w:pPr>
          <w:hyperlink w:anchor="_Toc38369997" w:history="1">
            <w:r w:rsidRPr="0088742D">
              <w:rPr>
                <w:rStyle w:val="Hyperlink"/>
                <w:noProof/>
                <w:sz w:val="22"/>
              </w:rPr>
              <w:t>6.1</w:t>
            </w:r>
            <w:r w:rsidRPr="0088742D">
              <w:rPr>
                <w:rFonts w:eastAsiaTheme="minorEastAsia"/>
                <w:b w:val="0"/>
                <w:bCs w:val="0"/>
                <w:noProof/>
                <w:sz w:val="22"/>
                <w:lang w:eastAsia="en-GB"/>
              </w:rPr>
              <w:tab/>
            </w:r>
            <w:r w:rsidRPr="0088742D">
              <w:rPr>
                <w:rStyle w:val="Hyperlink"/>
                <w:noProof/>
                <w:sz w:val="22"/>
              </w:rPr>
              <w:t>Develop a plan for implementation</w:t>
            </w:r>
            <w:r w:rsidRPr="0088742D">
              <w:rPr>
                <w:noProof/>
                <w:webHidden/>
                <w:sz w:val="22"/>
              </w:rPr>
              <w:tab/>
            </w:r>
            <w:r w:rsidRPr="0088742D">
              <w:rPr>
                <w:noProof/>
                <w:webHidden/>
                <w:sz w:val="22"/>
              </w:rPr>
              <w:fldChar w:fldCharType="begin"/>
            </w:r>
            <w:r w:rsidRPr="0088742D">
              <w:rPr>
                <w:noProof/>
                <w:webHidden/>
                <w:sz w:val="22"/>
              </w:rPr>
              <w:instrText xml:space="preserve"> PAGEREF _Toc38369997 \h </w:instrText>
            </w:r>
            <w:r w:rsidRPr="0088742D">
              <w:rPr>
                <w:noProof/>
                <w:webHidden/>
                <w:sz w:val="22"/>
              </w:rPr>
            </w:r>
            <w:r w:rsidRPr="0088742D">
              <w:rPr>
                <w:noProof/>
                <w:webHidden/>
                <w:sz w:val="22"/>
              </w:rPr>
              <w:fldChar w:fldCharType="separate"/>
            </w:r>
            <w:r w:rsidRPr="0088742D">
              <w:rPr>
                <w:noProof/>
                <w:webHidden/>
                <w:sz w:val="22"/>
              </w:rPr>
              <w:t>18</w:t>
            </w:r>
            <w:r w:rsidRPr="0088742D">
              <w:rPr>
                <w:noProof/>
                <w:webHidden/>
                <w:sz w:val="22"/>
              </w:rPr>
              <w:fldChar w:fldCharType="end"/>
            </w:r>
          </w:hyperlink>
        </w:p>
        <w:p w14:paraId="33513C46" w14:textId="4987B0A8" w:rsidR="0088742D" w:rsidRPr="0088742D" w:rsidRDefault="0088742D" w:rsidP="0088742D">
          <w:pPr>
            <w:pStyle w:val="TOC2"/>
            <w:tabs>
              <w:tab w:val="left" w:pos="960"/>
              <w:tab w:val="right" w:leader="dot" w:pos="9016"/>
            </w:tabs>
            <w:spacing w:line="240" w:lineRule="exact"/>
            <w:rPr>
              <w:rFonts w:eastAsiaTheme="minorEastAsia"/>
              <w:b w:val="0"/>
              <w:bCs w:val="0"/>
              <w:noProof/>
              <w:sz w:val="22"/>
              <w:lang w:eastAsia="en-GB"/>
            </w:rPr>
          </w:pPr>
          <w:hyperlink w:anchor="_Toc38369998" w:history="1">
            <w:r w:rsidRPr="0088742D">
              <w:rPr>
                <w:rStyle w:val="Hyperlink"/>
                <w:noProof/>
                <w:sz w:val="22"/>
              </w:rPr>
              <w:t>6.2</w:t>
            </w:r>
            <w:r w:rsidRPr="0088742D">
              <w:rPr>
                <w:rFonts w:eastAsiaTheme="minorEastAsia"/>
                <w:b w:val="0"/>
                <w:bCs w:val="0"/>
                <w:noProof/>
                <w:sz w:val="22"/>
                <w:lang w:eastAsia="en-GB"/>
              </w:rPr>
              <w:tab/>
            </w:r>
            <w:r w:rsidRPr="0088742D">
              <w:rPr>
                <w:rStyle w:val="Hyperlink"/>
                <w:noProof/>
                <w:sz w:val="22"/>
              </w:rPr>
              <w:t>Pilot the new solution</w:t>
            </w:r>
            <w:r w:rsidRPr="0088742D">
              <w:rPr>
                <w:noProof/>
                <w:webHidden/>
                <w:sz w:val="22"/>
              </w:rPr>
              <w:tab/>
            </w:r>
            <w:r w:rsidRPr="0088742D">
              <w:rPr>
                <w:noProof/>
                <w:webHidden/>
                <w:sz w:val="22"/>
              </w:rPr>
              <w:fldChar w:fldCharType="begin"/>
            </w:r>
            <w:r w:rsidRPr="0088742D">
              <w:rPr>
                <w:noProof/>
                <w:webHidden/>
                <w:sz w:val="22"/>
              </w:rPr>
              <w:instrText xml:space="preserve"> PAGEREF _Toc38369998 \h </w:instrText>
            </w:r>
            <w:r w:rsidRPr="0088742D">
              <w:rPr>
                <w:noProof/>
                <w:webHidden/>
                <w:sz w:val="22"/>
              </w:rPr>
            </w:r>
            <w:r w:rsidRPr="0088742D">
              <w:rPr>
                <w:noProof/>
                <w:webHidden/>
                <w:sz w:val="22"/>
              </w:rPr>
              <w:fldChar w:fldCharType="separate"/>
            </w:r>
            <w:r w:rsidRPr="0088742D">
              <w:rPr>
                <w:noProof/>
                <w:webHidden/>
                <w:sz w:val="22"/>
              </w:rPr>
              <w:t>20</w:t>
            </w:r>
            <w:r w:rsidRPr="0088742D">
              <w:rPr>
                <w:noProof/>
                <w:webHidden/>
                <w:sz w:val="22"/>
              </w:rPr>
              <w:fldChar w:fldCharType="end"/>
            </w:r>
          </w:hyperlink>
        </w:p>
        <w:p w14:paraId="4E8212DC" w14:textId="7E0CD0BB" w:rsidR="0088742D" w:rsidRPr="0088742D" w:rsidRDefault="0088742D" w:rsidP="0088742D">
          <w:pPr>
            <w:pStyle w:val="TOC2"/>
            <w:tabs>
              <w:tab w:val="left" w:pos="960"/>
              <w:tab w:val="right" w:leader="dot" w:pos="9016"/>
            </w:tabs>
            <w:spacing w:line="240" w:lineRule="exact"/>
            <w:rPr>
              <w:rFonts w:eastAsiaTheme="minorEastAsia"/>
              <w:b w:val="0"/>
              <w:bCs w:val="0"/>
              <w:noProof/>
              <w:sz w:val="22"/>
              <w:lang w:eastAsia="en-GB"/>
            </w:rPr>
          </w:pPr>
          <w:hyperlink w:anchor="_Toc38369999" w:history="1">
            <w:r w:rsidRPr="0088742D">
              <w:rPr>
                <w:rStyle w:val="Hyperlink"/>
                <w:noProof/>
                <w:sz w:val="22"/>
              </w:rPr>
              <w:t>6.3</w:t>
            </w:r>
            <w:r w:rsidRPr="0088742D">
              <w:rPr>
                <w:rFonts w:eastAsiaTheme="minorEastAsia"/>
                <w:b w:val="0"/>
                <w:bCs w:val="0"/>
                <w:noProof/>
                <w:sz w:val="22"/>
                <w:lang w:eastAsia="en-GB"/>
              </w:rPr>
              <w:tab/>
            </w:r>
            <w:r w:rsidRPr="0088742D">
              <w:rPr>
                <w:rStyle w:val="Hyperlink"/>
                <w:noProof/>
                <w:sz w:val="22"/>
              </w:rPr>
              <w:t>Review and revise the solution</w:t>
            </w:r>
            <w:r w:rsidRPr="0088742D">
              <w:rPr>
                <w:noProof/>
                <w:webHidden/>
                <w:sz w:val="22"/>
              </w:rPr>
              <w:tab/>
            </w:r>
            <w:r w:rsidRPr="0088742D">
              <w:rPr>
                <w:noProof/>
                <w:webHidden/>
                <w:sz w:val="22"/>
              </w:rPr>
              <w:fldChar w:fldCharType="begin"/>
            </w:r>
            <w:r w:rsidRPr="0088742D">
              <w:rPr>
                <w:noProof/>
                <w:webHidden/>
                <w:sz w:val="22"/>
              </w:rPr>
              <w:instrText xml:space="preserve"> PAGEREF _Toc38369999 \h </w:instrText>
            </w:r>
            <w:r w:rsidRPr="0088742D">
              <w:rPr>
                <w:noProof/>
                <w:webHidden/>
                <w:sz w:val="22"/>
              </w:rPr>
            </w:r>
            <w:r w:rsidRPr="0088742D">
              <w:rPr>
                <w:noProof/>
                <w:webHidden/>
                <w:sz w:val="22"/>
              </w:rPr>
              <w:fldChar w:fldCharType="separate"/>
            </w:r>
            <w:r w:rsidRPr="0088742D">
              <w:rPr>
                <w:noProof/>
                <w:webHidden/>
                <w:sz w:val="22"/>
              </w:rPr>
              <w:t>20</w:t>
            </w:r>
            <w:r w:rsidRPr="0088742D">
              <w:rPr>
                <w:noProof/>
                <w:webHidden/>
                <w:sz w:val="22"/>
              </w:rPr>
              <w:fldChar w:fldCharType="end"/>
            </w:r>
          </w:hyperlink>
        </w:p>
        <w:p w14:paraId="6F1A5C0F" w14:textId="68D6FA55" w:rsidR="0088742D" w:rsidRPr="0088742D" w:rsidRDefault="0088742D" w:rsidP="0088742D">
          <w:pPr>
            <w:pStyle w:val="TOC2"/>
            <w:tabs>
              <w:tab w:val="left" w:pos="960"/>
              <w:tab w:val="right" w:leader="dot" w:pos="9016"/>
            </w:tabs>
            <w:spacing w:line="240" w:lineRule="exact"/>
            <w:rPr>
              <w:rFonts w:eastAsiaTheme="minorEastAsia"/>
              <w:b w:val="0"/>
              <w:bCs w:val="0"/>
              <w:noProof/>
              <w:sz w:val="22"/>
              <w:lang w:eastAsia="en-GB"/>
            </w:rPr>
          </w:pPr>
          <w:hyperlink w:anchor="_Toc38370000" w:history="1">
            <w:r w:rsidRPr="0088742D">
              <w:rPr>
                <w:rStyle w:val="Hyperlink"/>
                <w:noProof/>
                <w:sz w:val="22"/>
              </w:rPr>
              <w:t>6.4</w:t>
            </w:r>
            <w:r w:rsidRPr="0088742D">
              <w:rPr>
                <w:rFonts w:eastAsiaTheme="minorEastAsia"/>
                <w:b w:val="0"/>
                <w:bCs w:val="0"/>
                <w:noProof/>
                <w:sz w:val="22"/>
                <w:lang w:eastAsia="en-GB"/>
              </w:rPr>
              <w:tab/>
            </w:r>
            <w:r w:rsidRPr="0088742D">
              <w:rPr>
                <w:rStyle w:val="Hyperlink"/>
                <w:noProof/>
                <w:sz w:val="22"/>
              </w:rPr>
              <w:t>Sustain the solution in the pilot site</w:t>
            </w:r>
            <w:r w:rsidRPr="0088742D">
              <w:rPr>
                <w:noProof/>
                <w:webHidden/>
                <w:sz w:val="22"/>
              </w:rPr>
              <w:tab/>
            </w:r>
            <w:r w:rsidRPr="0088742D">
              <w:rPr>
                <w:noProof/>
                <w:webHidden/>
                <w:sz w:val="22"/>
              </w:rPr>
              <w:fldChar w:fldCharType="begin"/>
            </w:r>
            <w:r w:rsidRPr="0088742D">
              <w:rPr>
                <w:noProof/>
                <w:webHidden/>
                <w:sz w:val="22"/>
              </w:rPr>
              <w:instrText xml:space="preserve"> PAGEREF _Toc38370000 \h </w:instrText>
            </w:r>
            <w:r w:rsidRPr="0088742D">
              <w:rPr>
                <w:noProof/>
                <w:webHidden/>
                <w:sz w:val="22"/>
              </w:rPr>
            </w:r>
            <w:r w:rsidRPr="0088742D">
              <w:rPr>
                <w:noProof/>
                <w:webHidden/>
                <w:sz w:val="22"/>
              </w:rPr>
              <w:fldChar w:fldCharType="separate"/>
            </w:r>
            <w:r w:rsidRPr="0088742D">
              <w:rPr>
                <w:noProof/>
                <w:webHidden/>
                <w:sz w:val="22"/>
              </w:rPr>
              <w:t>20</w:t>
            </w:r>
            <w:r w:rsidRPr="0088742D">
              <w:rPr>
                <w:noProof/>
                <w:webHidden/>
                <w:sz w:val="22"/>
              </w:rPr>
              <w:fldChar w:fldCharType="end"/>
            </w:r>
          </w:hyperlink>
        </w:p>
        <w:p w14:paraId="614A98FE" w14:textId="77F45901" w:rsidR="0088742D" w:rsidRPr="0088742D" w:rsidRDefault="0088742D" w:rsidP="0088742D">
          <w:pPr>
            <w:pStyle w:val="TOC2"/>
            <w:tabs>
              <w:tab w:val="left" w:pos="960"/>
              <w:tab w:val="right" w:leader="dot" w:pos="9016"/>
            </w:tabs>
            <w:spacing w:line="240" w:lineRule="exact"/>
            <w:rPr>
              <w:rFonts w:eastAsiaTheme="minorEastAsia"/>
              <w:b w:val="0"/>
              <w:bCs w:val="0"/>
              <w:noProof/>
              <w:sz w:val="22"/>
              <w:lang w:eastAsia="en-GB"/>
            </w:rPr>
          </w:pPr>
          <w:hyperlink w:anchor="_Toc38370001" w:history="1">
            <w:r w:rsidRPr="0088742D">
              <w:rPr>
                <w:rStyle w:val="Hyperlink"/>
                <w:noProof/>
                <w:sz w:val="22"/>
              </w:rPr>
              <w:t>6.5</w:t>
            </w:r>
            <w:r w:rsidRPr="0088742D">
              <w:rPr>
                <w:rFonts w:eastAsiaTheme="minorEastAsia"/>
                <w:b w:val="0"/>
                <w:bCs w:val="0"/>
                <w:noProof/>
                <w:sz w:val="22"/>
                <w:lang w:eastAsia="en-GB"/>
              </w:rPr>
              <w:tab/>
            </w:r>
            <w:r w:rsidRPr="0088742D">
              <w:rPr>
                <w:rStyle w:val="Hyperlink"/>
                <w:noProof/>
                <w:sz w:val="22"/>
              </w:rPr>
              <w:t>Spread the project to other clinical settings</w:t>
            </w:r>
            <w:r w:rsidRPr="0088742D">
              <w:rPr>
                <w:noProof/>
                <w:webHidden/>
                <w:sz w:val="22"/>
              </w:rPr>
              <w:tab/>
            </w:r>
            <w:r w:rsidRPr="0088742D">
              <w:rPr>
                <w:noProof/>
                <w:webHidden/>
                <w:sz w:val="22"/>
              </w:rPr>
              <w:fldChar w:fldCharType="begin"/>
            </w:r>
            <w:r w:rsidRPr="0088742D">
              <w:rPr>
                <w:noProof/>
                <w:webHidden/>
                <w:sz w:val="22"/>
              </w:rPr>
              <w:instrText xml:space="preserve"> PAGEREF _Toc38370001 \h </w:instrText>
            </w:r>
            <w:r w:rsidRPr="0088742D">
              <w:rPr>
                <w:noProof/>
                <w:webHidden/>
                <w:sz w:val="22"/>
              </w:rPr>
            </w:r>
            <w:r w:rsidRPr="0088742D">
              <w:rPr>
                <w:noProof/>
                <w:webHidden/>
                <w:sz w:val="22"/>
              </w:rPr>
              <w:fldChar w:fldCharType="separate"/>
            </w:r>
            <w:r w:rsidRPr="0088742D">
              <w:rPr>
                <w:noProof/>
                <w:webHidden/>
                <w:sz w:val="22"/>
              </w:rPr>
              <w:t>20</w:t>
            </w:r>
            <w:r w:rsidRPr="0088742D">
              <w:rPr>
                <w:noProof/>
                <w:webHidden/>
                <w:sz w:val="22"/>
              </w:rPr>
              <w:fldChar w:fldCharType="end"/>
            </w:r>
          </w:hyperlink>
        </w:p>
        <w:p w14:paraId="05DC37B2" w14:textId="3261427A" w:rsidR="0088742D" w:rsidRPr="0088742D" w:rsidRDefault="0088742D" w:rsidP="0088742D">
          <w:pPr>
            <w:pStyle w:val="TOC2"/>
            <w:tabs>
              <w:tab w:val="left" w:pos="960"/>
              <w:tab w:val="right" w:leader="dot" w:pos="9016"/>
            </w:tabs>
            <w:spacing w:line="240" w:lineRule="exact"/>
            <w:rPr>
              <w:rFonts w:eastAsiaTheme="minorEastAsia"/>
              <w:b w:val="0"/>
              <w:bCs w:val="0"/>
              <w:noProof/>
              <w:sz w:val="22"/>
              <w:lang w:eastAsia="en-GB"/>
            </w:rPr>
          </w:pPr>
          <w:hyperlink w:anchor="_Toc38370002" w:history="1">
            <w:r w:rsidRPr="0088742D">
              <w:rPr>
                <w:rStyle w:val="Hyperlink"/>
                <w:noProof/>
                <w:sz w:val="22"/>
              </w:rPr>
              <w:t>6.6</w:t>
            </w:r>
            <w:r w:rsidRPr="0088742D">
              <w:rPr>
                <w:rFonts w:eastAsiaTheme="minorEastAsia"/>
                <w:b w:val="0"/>
                <w:bCs w:val="0"/>
                <w:noProof/>
                <w:sz w:val="22"/>
                <w:lang w:eastAsia="en-GB"/>
              </w:rPr>
              <w:tab/>
            </w:r>
            <w:r w:rsidRPr="0088742D">
              <w:rPr>
                <w:rStyle w:val="Hyperlink"/>
                <w:noProof/>
                <w:sz w:val="22"/>
              </w:rPr>
              <w:t>Provide ongoing education and training to new and existing employees</w:t>
            </w:r>
            <w:r w:rsidRPr="0088742D">
              <w:rPr>
                <w:noProof/>
                <w:webHidden/>
                <w:sz w:val="22"/>
              </w:rPr>
              <w:tab/>
            </w:r>
            <w:r w:rsidRPr="0088742D">
              <w:rPr>
                <w:noProof/>
                <w:webHidden/>
                <w:sz w:val="22"/>
              </w:rPr>
              <w:fldChar w:fldCharType="begin"/>
            </w:r>
            <w:r w:rsidRPr="0088742D">
              <w:rPr>
                <w:noProof/>
                <w:webHidden/>
                <w:sz w:val="22"/>
              </w:rPr>
              <w:instrText xml:space="preserve"> PAGEREF _Toc38370002 \h </w:instrText>
            </w:r>
            <w:r w:rsidRPr="0088742D">
              <w:rPr>
                <w:noProof/>
                <w:webHidden/>
                <w:sz w:val="22"/>
              </w:rPr>
            </w:r>
            <w:r w:rsidRPr="0088742D">
              <w:rPr>
                <w:noProof/>
                <w:webHidden/>
                <w:sz w:val="22"/>
              </w:rPr>
              <w:fldChar w:fldCharType="separate"/>
            </w:r>
            <w:r w:rsidRPr="0088742D">
              <w:rPr>
                <w:noProof/>
                <w:webHidden/>
                <w:sz w:val="22"/>
              </w:rPr>
              <w:t>21</w:t>
            </w:r>
            <w:r w:rsidRPr="0088742D">
              <w:rPr>
                <w:noProof/>
                <w:webHidden/>
                <w:sz w:val="22"/>
              </w:rPr>
              <w:fldChar w:fldCharType="end"/>
            </w:r>
          </w:hyperlink>
        </w:p>
        <w:p w14:paraId="6C515EF5" w14:textId="628E2866" w:rsidR="0088742D" w:rsidRPr="0088742D" w:rsidRDefault="0088742D" w:rsidP="0088742D">
          <w:pPr>
            <w:pStyle w:val="TOC1"/>
            <w:tabs>
              <w:tab w:val="left" w:pos="482"/>
              <w:tab w:val="right" w:leader="dot" w:pos="9016"/>
            </w:tabs>
            <w:spacing w:line="240" w:lineRule="exact"/>
            <w:rPr>
              <w:rFonts w:eastAsiaTheme="minorEastAsia"/>
              <w:b w:val="0"/>
              <w:bCs w:val="0"/>
              <w:i w:val="0"/>
              <w:iCs w:val="0"/>
              <w:noProof/>
              <w:sz w:val="22"/>
              <w:szCs w:val="22"/>
              <w:lang w:eastAsia="en-GB"/>
            </w:rPr>
          </w:pPr>
          <w:hyperlink w:anchor="_Toc38370003" w:history="1">
            <w:r w:rsidRPr="0088742D">
              <w:rPr>
                <w:rStyle w:val="Hyperlink"/>
                <w:noProof/>
                <w:sz w:val="22"/>
                <w:szCs w:val="22"/>
              </w:rPr>
              <w:t>7</w:t>
            </w:r>
            <w:r w:rsidRPr="0088742D">
              <w:rPr>
                <w:rFonts w:eastAsiaTheme="minorEastAsia"/>
                <w:b w:val="0"/>
                <w:bCs w:val="0"/>
                <w:i w:val="0"/>
                <w:iCs w:val="0"/>
                <w:noProof/>
                <w:sz w:val="22"/>
                <w:szCs w:val="22"/>
                <w:lang w:eastAsia="en-GB"/>
              </w:rPr>
              <w:tab/>
            </w:r>
            <w:r w:rsidRPr="0088742D">
              <w:rPr>
                <w:rStyle w:val="Hyperlink"/>
                <w:noProof/>
                <w:sz w:val="22"/>
                <w:szCs w:val="22"/>
              </w:rPr>
              <w:t>Evaluation and maintenance</w:t>
            </w:r>
            <w:r w:rsidRPr="0088742D">
              <w:rPr>
                <w:noProof/>
                <w:webHidden/>
                <w:sz w:val="22"/>
                <w:szCs w:val="22"/>
              </w:rPr>
              <w:tab/>
            </w:r>
            <w:r w:rsidRPr="0088742D">
              <w:rPr>
                <w:noProof/>
                <w:webHidden/>
                <w:sz w:val="22"/>
                <w:szCs w:val="22"/>
              </w:rPr>
              <w:fldChar w:fldCharType="begin"/>
            </w:r>
            <w:r w:rsidRPr="0088742D">
              <w:rPr>
                <w:noProof/>
                <w:webHidden/>
                <w:sz w:val="22"/>
                <w:szCs w:val="22"/>
              </w:rPr>
              <w:instrText xml:space="preserve"> PAGEREF _Toc38370003 \h </w:instrText>
            </w:r>
            <w:r w:rsidRPr="0088742D">
              <w:rPr>
                <w:noProof/>
                <w:webHidden/>
                <w:sz w:val="22"/>
                <w:szCs w:val="22"/>
              </w:rPr>
            </w:r>
            <w:r w:rsidRPr="0088742D">
              <w:rPr>
                <w:noProof/>
                <w:webHidden/>
                <w:sz w:val="22"/>
                <w:szCs w:val="22"/>
              </w:rPr>
              <w:fldChar w:fldCharType="separate"/>
            </w:r>
            <w:r w:rsidRPr="0088742D">
              <w:rPr>
                <w:noProof/>
                <w:webHidden/>
                <w:sz w:val="22"/>
                <w:szCs w:val="22"/>
              </w:rPr>
              <w:t>21</w:t>
            </w:r>
            <w:r w:rsidRPr="0088742D">
              <w:rPr>
                <w:noProof/>
                <w:webHidden/>
                <w:sz w:val="22"/>
                <w:szCs w:val="22"/>
              </w:rPr>
              <w:fldChar w:fldCharType="end"/>
            </w:r>
          </w:hyperlink>
        </w:p>
        <w:p w14:paraId="08B4DF28" w14:textId="0B71C4F2" w:rsidR="0088742D" w:rsidRPr="0088742D" w:rsidRDefault="0088742D" w:rsidP="0088742D">
          <w:pPr>
            <w:pStyle w:val="TOC2"/>
            <w:tabs>
              <w:tab w:val="left" w:pos="960"/>
              <w:tab w:val="right" w:leader="dot" w:pos="9016"/>
            </w:tabs>
            <w:spacing w:line="240" w:lineRule="exact"/>
            <w:rPr>
              <w:rFonts w:eastAsiaTheme="minorEastAsia"/>
              <w:b w:val="0"/>
              <w:bCs w:val="0"/>
              <w:noProof/>
              <w:sz w:val="22"/>
              <w:lang w:eastAsia="en-GB"/>
            </w:rPr>
          </w:pPr>
          <w:hyperlink w:anchor="_Toc38370004" w:history="1">
            <w:r w:rsidRPr="0088742D">
              <w:rPr>
                <w:rStyle w:val="Hyperlink"/>
                <w:noProof/>
                <w:sz w:val="22"/>
              </w:rPr>
              <w:t>7.1</w:t>
            </w:r>
            <w:r w:rsidRPr="0088742D">
              <w:rPr>
                <w:rFonts w:eastAsiaTheme="minorEastAsia"/>
                <w:b w:val="0"/>
                <w:bCs w:val="0"/>
                <w:noProof/>
                <w:sz w:val="22"/>
                <w:lang w:eastAsia="en-GB"/>
              </w:rPr>
              <w:tab/>
            </w:r>
            <w:r w:rsidRPr="0088742D">
              <w:rPr>
                <w:rStyle w:val="Hyperlink"/>
                <w:noProof/>
                <w:sz w:val="22"/>
              </w:rPr>
              <w:t>Develop an evaluation plan</w:t>
            </w:r>
            <w:r w:rsidRPr="0088742D">
              <w:rPr>
                <w:noProof/>
                <w:webHidden/>
                <w:sz w:val="22"/>
              </w:rPr>
              <w:tab/>
            </w:r>
            <w:r w:rsidRPr="0088742D">
              <w:rPr>
                <w:noProof/>
                <w:webHidden/>
                <w:sz w:val="22"/>
              </w:rPr>
              <w:fldChar w:fldCharType="begin"/>
            </w:r>
            <w:r w:rsidRPr="0088742D">
              <w:rPr>
                <w:noProof/>
                <w:webHidden/>
                <w:sz w:val="22"/>
              </w:rPr>
              <w:instrText xml:space="preserve"> PAGEREF _Toc38370004 \h </w:instrText>
            </w:r>
            <w:r w:rsidRPr="0088742D">
              <w:rPr>
                <w:noProof/>
                <w:webHidden/>
                <w:sz w:val="22"/>
              </w:rPr>
            </w:r>
            <w:r w:rsidRPr="0088742D">
              <w:rPr>
                <w:noProof/>
                <w:webHidden/>
                <w:sz w:val="22"/>
              </w:rPr>
              <w:fldChar w:fldCharType="separate"/>
            </w:r>
            <w:r w:rsidRPr="0088742D">
              <w:rPr>
                <w:noProof/>
                <w:webHidden/>
                <w:sz w:val="22"/>
              </w:rPr>
              <w:t>21</w:t>
            </w:r>
            <w:r w:rsidRPr="0088742D">
              <w:rPr>
                <w:noProof/>
                <w:webHidden/>
                <w:sz w:val="22"/>
              </w:rPr>
              <w:fldChar w:fldCharType="end"/>
            </w:r>
          </w:hyperlink>
        </w:p>
        <w:p w14:paraId="1DE1C8A4" w14:textId="06943DBB" w:rsidR="0088742D" w:rsidRPr="0088742D" w:rsidRDefault="0088742D" w:rsidP="0088742D">
          <w:pPr>
            <w:pStyle w:val="TOC2"/>
            <w:tabs>
              <w:tab w:val="left" w:pos="960"/>
              <w:tab w:val="right" w:leader="dot" w:pos="9016"/>
            </w:tabs>
            <w:spacing w:line="240" w:lineRule="exact"/>
            <w:rPr>
              <w:rFonts w:eastAsiaTheme="minorEastAsia"/>
              <w:b w:val="0"/>
              <w:bCs w:val="0"/>
              <w:noProof/>
              <w:sz w:val="22"/>
              <w:lang w:eastAsia="en-GB"/>
            </w:rPr>
          </w:pPr>
          <w:hyperlink w:anchor="_Toc38370005" w:history="1">
            <w:r w:rsidRPr="0088742D">
              <w:rPr>
                <w:rStyle w:val="Hyperlink"/>
                <w:noProof/>
                <w:sz w:val="22"/>
              </w:rPr>
              <w:t>7.2</w:t>
            </w:r>
            <w:r w:rsidRPr="0088742D">
              <w:rPr>
                <w:rFonts w:eastAsiaTheme="minorEastAsia"/>
                <w:b w:val="0"/>
                <w:bCs w:val="0"/>
                <w:noProof/>
                <w:sz w:val="22"/>
                <w:lang w:eastAsia="en-GB"/>
              </w:rPr>
              <w:tab/>
            </w:r>
            <w:r w:rsidRPr="0088742D">
              <w:rPr>
                <w:rStyle w:val="Hyperlink"/>
                <w:noProof/>
                <w:sz w:val="22"/>
              </w:rPr>
              <w:t>Analyse and compare baseline and post-implementation data</w:t>
            </w:r>
            <w:r w:rsidRPr="0088742D">
              <w:rPr>
                <w:noProof/>
                <w:webHidden/>
                <w:sz w:val="22"/>
              </w:rPr>
              <w:tab/>
            </w:r>
            <w:r w:rsidRPr="0088742D">
              <w:rPr>
                <w:noProof/>
                <w:webHidden/>
                <w:sz w:val="22"/>
              </w:rPr>
              <w:fldChar w:fldCharType="begin"/>
            </w:r>
            <w:r w:rsidRPr="0088742D">
              <w:rPr>
                <w:noProof/>
                <w:webHidden/>
                <w:sz w:val="22"/>
              </w:rPr>
              <w:instrText xml:space="preserve"> PAGEREF _Toc38370005 \h </w:instrText>
            </w:r>
            <w:r w:rsidRPr="0088742D">
              <w:rPr>
                <w:noProof/>
                <w:webHidden/>
                <w:sz w:val="22"/>
              </w:rPr>
            </w:r>
            <w:r w:rsidRPr="0088742D">
              <w:rPr>
                <w:noProof/>
                <w:webHidden/>
                <w:sz w:val="22"/>
              </w:rPr>
              <w:fldChar w:fldCharType="separate"/>
            </w:r>
            <w:r w:rsidRPr="0088742D">
              <w:rPr>
                <w:noProof/>
                <w:webHidden/>
                <w:sz w:val="22"/>
              </w:rPr>
              <w:t>21</w:t>
            </w:r>
            <w:r w:rsidRPr="0088742D">
              <w:rPr>
                <w:noProof/>
                <w:webHidden/>
                <w:sz w:val="22"/>
              </w:rPr>
              <w:fldChar w:fldCharType="end"/>
            </w:r>
          </w:hyperlink>
        </w:p>
        <w:p w14:paraId="79DAFD83" w14:textId="559E2FAA" w:rsidR="0088742D" w:rsidRPr="0088742D" w:rsidRDefault="0088742D" w:rsidP="0088742D">
          <w:pPr>
            <w:pStyle w:val="TOC2"/>
            <w:tabs>
              <w:tab w:val="left" w:pos="960"/>
              <w:tab w:val="right" w:leader="dot" w:pos="9016"/>
            </w:tabs>
            <w:spacing w:line="240" w:lineRule="exact"/>
            <w:rPr>
              <w:rFonts w:eastAsiaTheme="minorEastAsia"/>
              <w:b w:val="0"/>
              <w:bCs w:val="0"/>
              <w:noProof/>
              <w:sz w:val="22"/>
              <w:lang w:eastAsia="en-GB"/>
            </w:rPr>
          </w:pPr>
          <w:hyperlink w:anchor="_Toc38370006" w:history="1">
            <w:r w:rsidRPr="0088742D">
              <w:rPr>
                <w:rStyle w:val="Hyperlink"/>
                <w:noProof/>
                <w:sz w:val="22"/>
              </w:rPr>
              <w:t>7.3</w:t>
            </w:r>
            <w:r w:rsidRPr="0088742D">
              <w:rPr>
                <w:rFonts w:eastAsiaTheme="minorEastAsia"/>
                <w:b w:val="0"/>
                <w:bCs w:val="0"/>
                <w:noProof/>
                <w:sz w:val="22"/>
                <w:lang w:eastAsia="en-GB"/>
              </w:rPr>
              <w:tab/>
            </w:r>
            <w:r w:rsidRPr="0088742D">
              <w:rPr>
                <w:rStyle w:val="Hyperlink"/>
                <w:noProof/>
                <w:sz w:val="22"/>
              </w:rPr>
              <w:t>Disseminate evaluation data and provide feedback to stakeholders on the project</w:t>
            </w:r>
            <w:r w:rsidRPr="0088742D">
              <w:rPr>
                <w:noProof/>
                <w:webHidden/>
                <w:sz w:val="22"/>
              </w:rPr>
              <w:tab/>
            </w:r>
            <w:r w:rsidRPr="0088742D">
              <w:rPr>
                <w:noProof/>
                <w:webHidden/>
                <w:sz w:val="22"/>
              </w:rPr>
              <w:fldChar w:fldCharType="begin"/>
            </w:r>
            <w:r w:rsidRPr="0088742D">
              <w:rPr>
                <w:noProof/>
                <w:webHidden/>
                <w:sz w:val="22"/>
              </w:rPr>
              <w:instrText xml:space="preserve"> PAGEREF _Toc38370006 \h </w:instrText>
            </w:r>
            <w:r w:rsidRPr="0088742D">
              <w:rPr>
                <w:noProof/>
                <w:webHidden/>
                <w:sz w:val="22"/>
              </w:rPr>
            </w:r>
            <w:r w:rsidRPr="0088742D">
              <w:rPr>
                <w:noProof/>
                <w:webHidden/>
                <w:sz w:val="22"/>
              </w:rPr>
              <w:fldChar w:fldCharType="separate"/>
            </w:r>
            <w:r w:rsidRPr="0088742D">
              <w:rPr>
                <w:noProof/>
                <w:webHidden/>
                <w:sz w:val="22"/>
              </w:rPr>
              <w:t>22</w:t>
            </w:r>
            <w:r w:rsidRPr="0088742D">
              <w:rPr>
                <w:noProof/>
                <w:webHidden/>
                <w:sz w:val="22"/>
              </w:rPr>
              <w:fldChar w:fldCharType="end"/>
            </w:r>
          </w:hyperlink>
        </w:p>
        <w:p w14:paraId="613C84CC" w14:textId="1F19AE4E" w:rsidR="0088742D" w:rsidRPr="0088742D" w:rsidRDefault="0088742D" w:rsidP="0088742D">
          <w:pPr>
            <w:pStyle w:val="TOC1"/>
            <w:tabs>
              <w:tab w:val="left" w:pos="482"/>
              <w:tab w:val="right" w:leader="dot" w:pos="9016"/>
            </w:tabs>
            <w:spacing w:line="240" w:lineRule="exact"/>
            <w:rPr>
              <w:rFonts w:eastAsiaTheme="minorEastAsia"/>
              <w:b w:val="0"/>
              <w:bCs w:val="0"/>
              <w:i w:val="0"/>
              <w:iCs w:val="0"/>
              <w:noProof/>
              <w:sz w:val="22"/>
              <w:szCs w:val="22"/>
              <w:lang w:eastAsia="en-GB"/>
            </w:rPr>
          </w:pPr>
          <w:hyperlink w:anchor="_Toc38370007" w:history="1">
            <w:r w:rsidRPr="0088742D">
              <w:rPr>
                <w:rStyle w:val="Hyperlink"/>
                <w:noProof/>
                <w:sz w:val="22"/>
                <w:szCs w:val="22"/>
              </w:rPr>
              <w:t>8</w:t>
            </w:r>
            <w:r w:rsidRPr="0088742D">
              <w:rPr>
                <w:rFonts w:eastAsiaTheme="minorEastAsia"/>
                <w:b w:val="0"/>
                <w:bCs w:val="0"/>
                <w:i w:val="0"/>
                <w:iCs w:val="0"/>
                <w:noProof/>
                <w:sz w:val="22"/>
                <w:szCs w:val="22"/>
                <w:lang w:eastAsia="en-GB"/>
              </w:rPr>
              <w:tab/>
            </w:r>
            <w:r w:rsidRPr="0088742D">
              <w:rPr>
                <w:rStyle w:val="Hyperlink"/>
                <w:noProof/>
                <w:sz w:val="22"/>
                <w:szCs w:val="22"/>
              </w:rPr>
              <w:t>Acknowledgements</w:t>
            </w:r>
            <w:r w:rsidRPr="0088742D">
              <w:rPr>
                <w:noProof/>
                <w:webHidden/>
                <w:sz w:val="22"/>
                <w:szCs w:val="22"/>
              </w:rPr>
              <w:tab/>
            </w:r>
            <w:r w:rsidRPr="0088742D">
              <w:rPr>
                <w:noProof/>
                <w:webHidden/>
                <w:sz w:val="22"/>
                <w:szCs w:val="22"/>
              </w:rPr>
              <w:fldChar w:fldCharType="begin"/>
            </w:r>
            <w:r w:rsidRPr="0088742D">
              <w:rPr>
                <w:noProof/>
                <w:webHidden/>
                <w:sz w:val="22"/>
                <w:szCs w:val="22"/>
              </w:rPr>
              <w:instrText xml:space="preserve"> PAGEREF _Toc38370007 \h </w:instrText>
            </w:r>
            <w:r w:rsidRPr="0088742D">
              <w:rPr>
                <w:noProof/>
                <w:webHidden/>
                <w:sz w:val="22"/>
                <w:szCs w:val="22"/>
              </w:rPr>
            </w:r>
            <w:r w:rsidRPr="0088742D">
              <w:rPr>
                <w:noProof/>
                <w:webHidden/>
                <w:sz w:val="22"/>
                <w:szCs w:val="22"/>
              </w:rPr>
              <w:fldChar w:fldCharType="separate"/>
            </w:r>
            <w:r w:rsidRPr="0088742D">
              <w:rPr>
                <w:noProof/>
                <w:webHidden/>
                <w:sz w:val="22"/>
                <w:szCs w:val="22"/>
              </w:rPr>
              <w:t>22</w:t>
            </w:r>
            <w:r w:rsidRPr="0088742D">
              <w:rPr>
                <w:noProof/>
                <w:webHidden/>
                <w:sz w:val="22"/>
                <w:szCs w:val="22"/>
              </w:rPr>
              <w:fldChar w:fldCharType="end"/>
            </w:r>
          </w:hyperlink>
        </w:p>
        <w:p w14:paraId="69BF69D6" w14:textId="02FBFC05" w:rsidR="0088742D" w:rsidRPr="0088742D" w:rsidRDefault="0088742D" w:rsidP="0088742D">
          <w:pPr>
            <w:pStyle w:val="TOC1"/>
            <w:tabs>
              <w:tab w:val="left" w:pos="482"/>
              <w:tab w:val="right" w:leader="dot" w:pos="9016"/>
            </w:tabs>
            <w:spacing w:line="240" w:lineRule="exact"/>
            <w:rPr>
              <w:rFonts w:eastAsiaTheme="minorEastAsia"/>
              <w:b w:val="0"/>
              <w:bCs w:val="0"/>
              <w:i w:val="0"/>
              <w:iCs w:val="0"/>
              <w:noProof/>
              <w:sz w:val="22"/>
              <w:szCs w:val="22"/>
              <w:lang w:eastAsia="en-GB"/>
            </w:rPr>
          </w:pPr>
          <w:hyperlink w:anchor="_Toc38370008" w:history="1">
            <w:r w:rsidRPr="0088742D">
              <w:rPr>
                <w:rStyle w:val="Hyperlink"/>
                <w:noProof/>
                <w:sz w:val="22"/>
                <w:szCs w:val="22"/>
              </w:rPr>
              <w:t>9</w:t>
            </w:r>
            <w:r w:rsidRPr="0088742D">
              <w:rPr>
                <w:rFonts w:eastAsiaTheme="minorEastAsia"/>
                <w:b w:val="0"/>
                <w:bCs w:val="0"/>
                <w:i w:val="0"/>
                <w:iCs w:val="0"/>
                <w:noProof/>
                <w:sz w:val="22"/>
                <w:szCs w:val="22"/>
                <w:lang w:eastAsia="en-GB"/>
              </w:rPr>
              <w:tab/>
            </w:r>
            <w:r w:rsidRPr="0088742D">
              <w:rPr>
                <w:rStyle w:val="Hyperlink"/>
                <w:noProof/>
                <w:sz w:val="22"/>
                <w:szCs w:val="22"/>
              </w:rPr>
              <w:t>Resources Appendix</w:t>
            </w:r>
            <w:r w:rsidRPr="0088742D">
              <w:rPr>
                <w:noProof/>
                <w:webHidden/>
                <w:sz w:val="22"/>
                <w:szCs w:val="22"/>
              </w:rPr>
              <w:tab/>
            </w:r>
            <w:r w:rsidRPr="0088742D">
              <w:rPr>
                <w:noProof/>
                <w:webHidden/>
                <w:sz w:val="22"/>
                <w:szCs w:val="22"/>
              </w:rPr>
              <w:fldChar w:fldCharType="begin"/>
            </w:r>
            <w:r w:rsidRPr="0088742D">
              <w:rPr>
                <w:noProof/>
                <w:webHidden/>
                <w:sz w:val="22"/>
                <w:szCs w:val="22"/>
              </w:rPr>
              <w:instrText xml:space="preserve"> PAGEREF _Toc38370008 \h </w:instrText>
            </w:r>
            <w:r w:rsidRPr="0088742D">
              <w:rPr>
                <w:noProof/>
                <w:webHidden/>
                <w:sz w:val="22"/>
                <w:szCs w:val="22"/>
              </w:rPr>
            </w:r>
            <w:r w:rsidRPr="0088742D">
              <w:rPr>
                <w:noProof/>
                <w:webHidden/>
                <w:sz w:val="22"/>
                <w:szCs w:val="22"/>
              </w:rPr>
              <w:fldChar w:fldCharType="separate"/>
            </w:r>
            <w:r w:rsidRPr="0088742D">
              <w:rPr>
                <w:noProof/>
                <w:webHidden/>
                <w:sz w:val="22"/>
                <w:szCs w:val="22"/>
              </w:rPr>
              <w:t>22</w:t>
            </w:r>
            <w:r w:rsidRPr="0088742D">
              <w:rPr>
                <w:noProof/>
                <w:webHidden/>
                <w:sz w:val="22"/>
                <w:szCs w:val="22"/>
              </w:rPr>
              <w:fldChar w:fldCharType="end"/>
            </w:r>
          </w:hyperlink>
        </w:p>
        <w:p w14:paraId="61B06428" w14:textId="6F4C2DE0" w:rsidR="0088742D" w:rsidRDefault="0088742D" w:rsidP="0088742D">
          <w:pPr>
            <w:spacing w:line="240" w:lineRule="exact"/>
          </w:pPr>
          <w:r w:rsidRPr="0088742D">
            <w:rPr>
              <w:b/>
              <w:bCs/>
              <w:noProof/>
              <w:szCs w:val="22"/>
            </w:rPr>
            <w:fldChar w:fldCharType="end"/>
          </w:r>
        </w:p>
      </w:sdtContent>
    </w:sdt>
    <w:p w14:paraId="0DED79E8" w14:textId="77777777" w:rsidR="0088742D" w:rsidRDefault="0088742D" w:rsidP="0088742D">
      <w:pPr>
        <w:pStyle w:val="Heading1"/>
        <w:keepNext/>
        <w:keepLines/>
        <w:numPr>
          <w:ilvl w:val="0"/>
          <w:numId w:val="17"/>
        </w:numPr>
        <w:spacing w:before="480" w:after="0" w:line="276" w:lineRule="auto"/>
      </w:pPr>
      <w:bookmarkStart w:id="0" w:name="_Toc38369975"/>
      <w:r>
        <w:lastRenderedPageBreak/>
        <w:t>Introduction</w:t>
      </w:r>
      <w:bookmarkEnd w:id="0"/>
    </w:p>
    <w:p w14:paraId="6A6A7FC9" w14:textId="77777777" w:rsidR="0088742D" w:rsidRDefault="0088742D" w:rsidP="0088742D">
      <w:pPr>
        <w:jc w:val="both"/>
      </w:pPr>
      <w:r>
        <w:t>Welcome to the Implementation Toolkit for Clinical Handover for planning and the implementation of clinical handover services</w:t>
      </w:r>
      <w:r w:rsidRPr="00EE584F">
        <w:t xml:space="preserve"> </w:t>
      </w:r>
      <w:r>
        <w:t>from hospital to pharmacists in the community.</w:t>
      </w:r>
    </w:p>
    <w:p w14:paraId="12B53F4D" w14:textId="77777777" w:rsidR="0088742D" w:rsidRPr="007006A6" w:rsidRDefault="0088742D" w:rsidP="0088742D">
      <w:pPr>
        <w:pStyle w:val="NormalWeb"/>
        <w:spacing w:before="0" w:beforeAutospacing="0" w:after="158" w:afterAutospacing="0"/>
        <w:jc w:val="both"/>
        <w:rPr>
          <w:rFonts w:asciiTheme="minorHAnsi" w:hAnsiTheme="minorHAnsi" w:cstheme="minorHAnsi"/>
          <w:color w:val="333333"/>
          <w:sz w:val="22"/>
          <w:szCs w:val="23"/>
        </w:rPr>
      </w:pPr>
      <w:r w:rsidRPr="007006A6">
        <w:rPr>
          <w:rFonts w:asciiTheme="minorHAnsi" w:hAnsiTheme="minorHAnsi" w:cstheme="minorHAnsi"/>
          <w:color w:val="333333"/>
          <w:sz w:val="22"/>
          <w:szCs w:val="23"/>
        </w:rPr>
        <w:t xml:space="preserve">An Implementation Toolkit is an assembly of instruments that, when used collectively or separately, can be </w:t>
      </w:r>
      <w:r>
        <w:rPr>
          <w:rFonts w:asciiTheme="minorHAnsi" w:hAnsiTheme="minorHAnsi" w:cstheme="minorHAnsi"/>
          <w:color w:val="333333"/>
          <w:sz w:val="22"/>
          <w:szCs w:val="23"/>
        </w:rPr>
        <w:t>useful</w:t>
      </w:r>
      <w:r w:rsidRPr="007006A6">
        <w:rPr>
          <w:rFonts w:asciiTheme="minorHAnsi" w:hAnsiTheme="minorHAnsi" w:cstheme="minorHAnsi"/>
          <w:color w:val="333333"/>
          <w:sz w:val="22"/>
          <w:szCs w:val="23"/>
        </w:rPr>
        <w:t xml:space="preserve"> for implementing a new program, practice, project, or initiative. Users can apply the toolkit in its entirety, or they may find certain portions of it particularly informative for their needs.</w:t>
      </w:r>
    </w:p>
    <w:p w14:paraId="4E4A3B6C" w14:textId="77777777" w:rsidR="0088742D" w:rsidRDefault="0088742D" w:rsidP="0088742D">
      <w:pPr>
        <w:pStyle w:val="NormalWeb"/>
        <w:spacing w:before="0" w:beforeAutospacing="0" w:after="158" w:afterAutospacing="0"/>
        <w:jc w:val="both"/>
        <w:rPr>
          <w:rFonts w:asciiTheme="minorHAnsi" w:hAnsiTheme="minorHAnsi" w:cstheme="minorHAnsi"/>
          <w:color w:val="333333"/>
          <w:sz w:val="22"/>
          <w:szCs w:val="23"/>
        </w:rPr>
      </w:pPr>
      <w:r w:rsidRPr="007006A6">
        <w:rPr>
          <w:rFonts w:asciiTheme="minorHAnsi" w:hAnsiTheme="minorHAnsi" w:cstheme="minorHAnsi"/>
          <w:color w:val="333333"/>
          <w:sz w:val="22"/>
          <w:szCs w:val="23"/>
        </w:rPr>
        <w:t xml:space="preserve">Toolkits are designed to help users implement more seamlessly, thereby bridging or reducing the gap between implementation and practice. They provide a blueprint for what to do, when to do it, and how to do it. </w:t>
      </w:r>
    </w:p>
    <w:p w14:paraId="10D67EE5" w14:textId="77777777" w:rsidR="0088742D" w:rsidRDefault="0088742D" w:rsidP="0088742D">
      <w:pPr>
        <w:pStyle w:val="NoSpacing"/>
        <w:jc w:val="both"/>
      </w:pPr>
      <w:r w:rsidRPr="00603FC5">
        <w:rPr>
          <w:rFonts w:cstheme="minorHAnsi"/>
        </w:rPr>
        <w:t xml:space="preserve">There are many theories and frameworks to better understand service/intervention implementation. </w:t>
      </w:r>
      <w:r>
        <w:rPr>
          <w:rFonts w:cstheme="minorHAnsi"/>
        </w:rPr>
        <w:t xml:space="preserve">Here we have drawn upon the </w:t>
      </w:r>
      <w:r w:rsidRPr="00603FC5">
        <w:rPr>
          <w:rFonts w:cstheme="minorHAnsi"/>
        </w:rPr>
        <w:t>Consolidated Framework for Implementation Research (CFIR</w:t>
      </w:r>
      <w:r>
        <w:rPr>
          <w:rFonts w:cstheme="minorHAnsi"/>
        </w:rPr>
        <w:t>)</w:t>
      </w:r>
      <w:r>
        <w:rPr>
          <w:rStyle w:val="EndnoteReference"/>
          <w:rFonts w:cstheme="minorHAnsi"/>
        </w:rPr>
        <w:endnoteReference w:id="1"/>
      </w:r>
      <w:r>
        <w:rPr>
          <w:rFonts w:cstheme="minorHAnsi"/>
        </w:rPr>
        <w:t xml:space="preserve"> (</w:t>
      </w:r>
      <w:r>
        <w:rPr>
          <w:rFonts w:cstheme="minorHAnsi"/>
          <w:b/>
        </w:rPr>
        <w:t>Fig. 1</w:t>
      </w:r>
      <w:r>
        <w:rPr>
          <w:rFonts w:cstheme="minorHAnsi"/>
        </w:rPr>
        <w:t xml:space="preserve">) </w:t>
      </w:r>
      <w:r w:rsidRPr="00603FC5">
        <w:rPr>
          <w:rFonts w:cstheme="minorHAnsi"/>
        </w:rPr>
        <w:t xml:space="preserve">to inform </w:t>
      </w:r>
      <w:r>
        <w:rPr>
          <w:rFonts w:cstheme="minorHAnsi"/>
        </w:rPr>
        <w:t>the development of the</w:t>
      </w:r>
      <w:r w:rsidRPr="00603FC5">
        <w:rPr>
          <w:rFonts w:cstheme="minorHAnsi"/>
        </w:rPr>
        <w:t xml:space="preserve"> </w:t>
      </w:r>
      <w:r>
        <w:rPr>
          <w:rFonts w:cstheme="minorHAnsi"/>
        </w:rPr>
        <w:t>T</w:t>
      </w:r>
      <w:r w:rsidRPr="00603FC5">
        <w:rPr>
          <w:rFonts w:cstheme="minorHAnsi"/>
        </w:rPr>
        <w:t xml:space="preserve">oolkit to guide and optimise </w:t>
      </w:r>
      <w:r>
        <w:rPr>
          <w:rFonts w:cstheme="minorHAnsi"/>
        </w:rPr>
        <w:t xml:space="preserve">the </w:t>
      </w:r>
      <w:r w:rsidRPr="00F3597A">
        <w:rPr>
          <w:rFonts w:cstheme="minorHAnsi"/>
        </w:rPr>
        <w:t xml:space="preserve">implementation of </w:t>
      </w:r>
      <w:r w:rsidRPr="002E3FE0">
        <w:t>clinical handover service</w:t>
      </w:r>
      <w:r>
        <w:t xml:space="preserve"> design, </w:t>
      </w:r>
      <w:r w:rsidRPr="002E3FE0">
        <w:t>delivery and evaluation</w:t>
      </w:r>
      <w:r>
        <w:t>. The following sections aim to capture each of the factors of the CFIR. We have attempted to draw upon experiences of implementing these services nationally.</w:t>
      </w:r>
    </w:p>
    <w:p w14:paraId="0FCED6CF" w14:textId="77777777" w:rsidR="0088742D" w:rsidRDefault="0088742D" w:rsidP="0088742D">
      <w:pPr>
        <w:pStyle w:val="NoSpacing"/>
        <w:jc w:val="both"/>
      </w:pPr>
    </w:p>
    <w:p w14:paraId="0D137ED8" w14:textId="77777777" w:rsidR="0088742D" w:rsidRDefault="0088742D" w:rsidP="0088742D">
      <w:pPr>
        <w:pStyle w:val="NoSpacing"/>
        <w:jc w:val="both"/>
        <w:rPr>
          <w:rFonts w:cstheme="minorHAnsi"/>
          <w:highlight w:val="yellow"/>
        </w:rPr>
      </w:pPr>
      <w:r>
        <w:rPr>
          <w:rFonts w:ascii="Arial" w:hAnsi="Arial" w:cs="Arial"/>
          <w:noProof/>
          <w:color w:val="FFFFFF"/>
          <w:sz w:val="20"/>
          <w:szCs w:val="20"/>
        </w:rPr>
        <w:drawing>
          <wp:inline distT="0" distB="0" distL="0" distR="0" wp14:anchorId="1399AA68" wp14:editId="092B1A65">
            <wp:extent cx="5715000" cy="2552700"/>
            <wp:effectExtent l="0" t="0" r="0" b="0"/>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0" cy="2552700"/>
                    </a:xfrm>
                    <a:prstGeom prst="rect">
                      <a:avLst/>
                    </a:prstGeom>
                    <a:noFill/>
                    <a:ln>
                      <a:noFill/>
                    </a:ln>
                  </pic:spPr>
                </pic:pic>
              </a:graphicData>
            </a:graphic>
          </wp:inline>
        </w:drawing>
      </w:r>
    </w:p>
    <w:p w14:paraId="3FF5EE6C" w14:textId="77777777" w:rsidR="0088742D" w:rsidRDefault="0088742D" w:rsidP="0088742D">
      <w:pPr>
        <w:pStyle w:val="NoSpacing"/>
        <w:jc w:val="both"/>
        <w:rPr>
          <w:rFonts w:cstheme="minorHAnsi"/>
        </w:rPr>
      </w:pPr>
      <w:r w:rsidRPr="00D7729F">
        <w:rPr>
          <w:rFonts w:cstheme="minorHAnsi"/>
          <w:b/>
        </w:rPr>
        <w:t xml:space="preserve">Figure </w:t>
      </w:r>
      <w:r>
        <w:rPr>
          <w:rFonts w:cstheme="minorHAnsi"/>
          <w:b/>
        </w:rPr>
        <w:t>1</w:t>
      </w:r>
      <w:r w:rsidRPr="00D7729F">
        <w:rPr>
          <w:rFonts w:cstheme="minorHAnsi"/>
          <w:b/>
        </w:rPr>
        <w:t>.</w:t>
      </w:r>
      <w:r w:rsidRPr="000075AD">
        <w:rPr>
          <w:rFonts w:cstheme="minorHAnsi"/>
        </w:rPr>
        <w:t xml:space="preserve"> The constructs of the Consolidated Framework for Implementation Research</w:t>
      </w:r>
    </w:p>
    <w:p w14:paraId="58C889C9" w14:textId="77777777" w:rsidR="0088742D" w:rsidRDefault="0088742D" w:rsidP="0088742D">
      <w:pPr>
        <w:jc w:val="both"/>
      </w:pPr>
      <w:r>
        <w:rPr>
          <w:noProof/>
        </w:rPr>
        <mc:AlternateContent>
          <mc:Choice Requires="wps">
            <w:drawing>
              <wp:anchor distT="0" distB="0" distL="114300" distR="114300" simplePos="0" relativeHeight="251664384" behindDoc="0" locked="0" layoutInCell="1" allowOverlap="1" wp14:anchorId="55A05A86" wp14:editId="03BDAB9D">
                <wp:simplePos x="0" y="0"/>
                <wp:positionH relativeFrom="margin">
                  <wp:posOffset>180975</wp:posOffset>
                </wp:positionH>
                <wp:positionV relativeFrom="paragraph">
                  <wp:posOffset>1116965</wp:posOffset>
                </wp:positionV>
                <wp:extent cx="5343525" cy="13335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5343525" cy="1333500"/>
                        </a:xfrm>
                        <a:prstGeom prst="rect">
                          <a:avLst/>
                        </a:prstGeom>
                        <a:effectLst>
                          <a:softEdge rad="63500"/>
                        </a:effectLst>
                      </wps:spPr>
                      <wps:style>
                        <a:lnRef idx="1">
                          <a:schemeClr val="accent1"/>
                        </a:lnRef>
                        <a:fillRef idx="2">
                          <a:schemeClr val="accent1"/>
                        </a:fillRef>
                        <a:effectRef idx="1">
                          <a:schemeClr val="accent1"/>
                        </a:effectRef>
                        <a:fontRef idx="minor">
                          <a:schemeClr val="dk1"/>
                        </a:fontRef>
                      </wps:style>
                      <wps:txbx>
                        <w:txbxContent>
                          <w:p w14:paraId="00CB3807" w14:textId="77777777" w:rsidR="0088742D" w:rsidRPr="00310440" w:rsidRDefault="0088742D" w:rsidP="0088742D">
                            <w:r w:rsidRPr="00310440">
                              <w:t>Clinical handover is more than just a transfer of information. Clinical handover is defined as:</w:t>
                            </w:r>
                          </w:p>
                          <w:p w14:paraId="0F310C8F" w14:textId="77777777" w:rsidR="0088742D" w:rsidRPr="009D2BA2" w:rsidRDefault="0088742D" w:rsidP="0088742D">
                            <w:r>
                              <w:rPr>
                                <w:i/>
                              </w:rPr>
                              <w:t>“</w:t>
                            </w:r>
                            <w:r w:rsidRPr="00310440">
                              <w:rPr>
                                <w:i/>
                              </w:rPr>
                              <w:t>The transfer of professional responsibility and accountability for some or all aspects of care for a patient, a group of patients, to another person or professional group on a temporary or permanent basis.”</w:t>
                            </w:r>
                            <w:r>
                              <w:rPr>
                                <w:i/>
                                <w:vertAlign w:val="superscript"/>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A05A86" id="Rectangle 1" o:spid="_x0000_s1026" style="position:absolute;left:0;text-align:left;margin-left:14.25pt;margin-top:87.95pt;width:420.75pt;height:105pt;z-index:2516643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" fillcolor="#80cdee [2164]" strokecolor="#41b6e6 [3204]" strokeweight=".5pt">
                <v:fill color2="#65c3ea [2612]" rotate="t" colors="0 #a9d8f3;.5 #9ad1f0;1 #87ccf2" focus="100%" type="gradient">
                  <o:fill v:ext="view" type="gradientUnscaled"/>
                </v:fill>
                <v:textbox>
                  <w:txbxContent>
                    <w:p w14:paraId="00CB3807" w14:textId="77777777" w:rsidR="0088742D" w:rsidRPr="00310440" w:rsidRDefault="0088742D" w:rsidP="0088742D">
                      <w:r w:rsidRPr="00310440">
                        <w:t>Clinical handover is more than just a transfer of information. Clinical handover is defined as:</w:t>
                      </w:r>
                    </w:p>
                    <w:p w14:paraId="0F310C8F" w14:textId="77777777" w:rsidR="0088742D" w:rsidRPr="009D2BA2" w:rsidRDefault="0088742D" w:rsidP="0088742D">
                      <w:r>
                        <w:rPr>
                          <w:i/>
                        </w:rPr>
                        <w:t>“</w:t>
                      </w:r>
                      <w:r w:rsidRPr="00310440">
                        <w:rPr>
                          <w:i/>
                        </w:rPr>
                        <w:t>The transfer of professional responsibility and accountability for some or all aspects of care for a patient, a group of patients, to another person or professional group on a temporary or permanent basis.”</w:t>
                      </w:r>
                      <w:r>
                        <w:rPr>
                          <w:i/>
                          <w:vertAlign w:val="superscript"/>
                        </w:rPr>
                        <w:t>2</w:t>
                      </w:r>
                    </w:p>
                  </w:txbxContent>
                </v:textbox>
                <w10:wrap anchorx="margin"/>
              </v:rect>
            </w:pict>
          </mc:Fallback>
        </mc:AlternateContent>
      </w:r>
      <w:r>
        <w:t xml:space="preserve">This Toolkit is a </w:t>
      </w:r>
      <w:r w:rsidRPr="008142B5">
        <w:rPr>
          <w:i/>
        </w:rPr>
        <w:t>how</w:t>
      </w:r>
      <w:r>
        <w:rPr>
          <w:i/>
        </w:rPr>
        <w:t xml:space="preserve"> to guide </w:t>
      </w:r>
      <w:r>
        <w:t>for commissioners, managers and providers reviewing and implementing local clinical handover processes. The Toolkit refers to and draws upon previous documentation (e.g. various Royal Pharmaceutical Society (RPS) reports and National Institute for Clinical Excellence (NICE) guidance) and adds further guidance on the implementation process. The Toolkit has been designed to be used in pharmacy settings in primary and secondary care.</w:t>
      </w:r>
    </w:p>
    <w:p w14:paraId="205ADB15" w14:textId="77777777" w:rsidR="0088742D" w:rsidRDefault="0088742D" w:rsidP="0088742D">
      <w:pPr>
        <w:jc w:val="both"/>
      </w:pPr>
    </w:p>
    <w:p w14:paraId="58938028" w14:textId="77777777" w:rsidR="0088742D" w:rsidRDefault="0088742D" w:rsidP="0088742D">
      <w:pPr>
        <w:jc w:val="both"/>
      </w:pPr>
    </w:p>
    <w:p w14:paraId="2DA85BF8" w14:textId="77777777" w:rsidR="0088742D" w:rsidRDefault="0088742D" w:rsidP="0088742D">
      <w:pPr>
        <w:jc w:val="both"/>
      </w:pPr>
    </w:p>
    <w:p w14:paraId="2EDCFFFA" w14:textId="77777777" w:rsidR="0088742D" w:rsidRDefault="0088742D" w:rsidP="0088742D"/>
    <w:p w14:paraId="6F54ED37" w14:textId="77777777" w:rsidR="0088742D" w:rsidRDefault="0088742D" w:rsidP="0088742D"/>
    <w:p w14:paraId="281D3731" w14:textId="77777777" w:rsidR="0088742D" w:rsidRDefault="0088742D" w:rsidP="0088742D">
      <w:pPr>
        <w:ind w:left="2880" w:firstLine="720"/>
        <w:sectPr w:rsidR="0088742D">
          <w:headerReference w:type="first" r:id="rId13"/>
          <w:endnotePr>
            <w:numFmt w:val="decimal"/>
          </w:endnotePr>
          <w:pgSz w:w="11906" w:h="16838"/>
          <w:pgMar w:top="1440" w:right="1440" w:bottom="1440" w:left="1440" w:header="708" w:footer="708" w:gutter="0"/>
          <w:cols w:space="708"/>
          <w:docGrid w:linePitch="360"/>
        </w:sectPr>
      </w:pPr>
      <w:r>
        <w:rPr>
          <w:rStyle w:val="EndnoteReference"/>
        </w:rPr>
        <w:endnoteReference w:id="2"/>
      </w:r>
    </w:p>
    <w:p w14:paraId="03DB0EF9" w14:textId="77777777" w:rsidR="0088742D" w:rsidRDefault="0088742D" w:rsidP="0088742D">
      <w:pPr>
        <w:pStyle w:val="Heading1"/>
        <w:keepNext/>
        <w:keepLines/>
        <w:numPr>
          <w:ilvl w:val="0"/>
          <w:numId w:val="17"/>
        </w:numPr>
        <w:spacing w:before="480" w:after="0" w:line="276" w:lineRule="auto"/>
      </w:pPr>
      <w:bookmarkStart w:id="1" w:name="_Toc38369976"/>
      <w:r>
        <w:lastRenderedPageBreak/>
        <w:t>Planning</w:t>
      </w:r>
      <w:bookmarkEnd w:id="1"/>
    </w:p>
    <w:p w14:paraId="05DA1478" w14:textId="77777777" w:rsidR="0088742D" w:rsidRDefault="0088742D" w:rsidP="0088742D">
      <w:pPr>
        <w:pStyle w:val="Heading2"/>
        <w:keepNext/>
        <w:keepLines/>
        <w:numPr>
          <w:ilvl w:val="1"/>
          <w:numId w:val="17"/>
        </w:numPr>
        <w:spacing w:before="480" w:after="120" w:line="276" w:lineRule="auto"/>
      </w:pPr>
      <w:bookmarkStart w:id="2" w:name="_Toc38369977"/>
      <w:r>
        <w:t>Establishing a compelling case for change</w:t>
      </w:r>
      <w:bookmarkEnd w:id="2"/>
    </w:p>
    <w:p w14:paraId="1A4FE0F1" w14:textId="77777777" w:rsidR="0088742D" w:rsidRDefault="0088742D" w:rsidP="0088742D">
      <w:pPr>
        <w:jc w:val="both"/>
      </w:pPr>
      <w:r>
        <w:t>The case for clinical handover articulated below has been adapted from a previous document authored by the Academic Health Service Networks (AHSNs) of Wessex and North East and North Cumbria (NENC) and endorsed by the RPS.</w:t>
      </w:r>
      <w:r>
        <w:rPr>
          <w:rStyle w:val="EndnoteReference"/>
        </w:rPr>
        <w:endnoteReference w:id="3"/>
      </w:r>
    </w:p>
    <w:p w14:paraId="05752A83" w14:textId="77777777" w:rsidR="0088742D" w:rsidRDefault="0088742D" w:rsidP="0088742D">
      <w:pPr>
        <w:jc w:val="both"/>
      </w:pPr>
      <w:r>
        <w:t xml:space="preserve">Many patients leave hospital having had new medicines initiated, doses of existing medicines changed, and medicines stopped. Unintended discrepancies in patients’ medicines after discharge from hospital frequently occur, affecting up to 87% of patients. Patients’ understanding of the nature of and reasons for changes made to their medicines in hospital is often incomplete; hence, it is unsurprising that their medicines-taking may be different from that intended by the hospital. Furthermore, during an admission, problems with a patient’s medicines may be identified, which are more appropriately managed by the primary care team, including the community pharmacist. </w:t>
      </w:r>
    </w:p>
    <w:p w14:paraId="7AEC9676" w14:textId="77777777" w:rsidR="0088742D" w:rsidRDefault="0088742D" w:rsidP="0088742D">
      <w:pPr>
        <w:jc w:val="both"/>
      </w:pPr>
      <w:r>
        <w:t xml:space="preserve">Medicines-related problems after hospital discharge are associated with potential and actual adverse health consequences, many of which are preventable. The literature shows clear potential to reduce medicines-related problems after discharge and thus a role for Discharge Medicines Use Reviews (DMURs). There is some evidence from other countries (notably the Netherlands, Australia and Wales) that post-discharge medicines reviews are effective in resolving discrepancies and problems in medicines use.  The DMUR has been part of the community pharmacy contract in England since 2011. It covers patients recently discharged from hospital who had changes made to their medicines while they were in hospital. Ideally, patients discharged from hospital will receive an MUR within four weeks of discharge but in certain circumstances, the MUR can take place within eight weeks of discharge. </w:t>
      </w:r>
    </w:p>
    <w:p w14:paraId="615539E1" w14:textId="77777777" w:rsidR="0088742D" w:rsidRPr="006C5497" w:rsidRDefault="0088742D" w:rsidP="0088742D">
      <w:pPr>
        <w:jc w:val="both"/>
      </w:pPr>
      <w:r>
        <w:t>Guidance was published in January 2012 showing how the New Medicine Service (NMS) and DMURs can be used to provide a seamless care pathway for patients who transfer from hospital to the community setting. It was developed and published by NHS Employers and the Pharmaceutical Services Negotiating Committee (PSNC), working with a hospital and community pharmacy reference group and endorsed by the RPS. In order to increase the uptake of DMURs, several areas of the country have developed Clinical Handover schemes to help hospitals directly refer patients to their community pharmacist in order to receive support around their medicines on discharge from hospital.</w:t>
      </w:r>
    </w:p>
    <w:p w14:paraId="1D9A6740" w14:textId="77777777" w:rsidR="0088742D" w:rsidRDefault="0088742D" w:rsidP="0088742D">
      <w:pPr>
        <w:jc w:val="both"/>
      </w:pPr>
      <w:r>
        <w:t>A recent systematic review assessing transfer of care initiatives internationally, reported that interventions that include community pharmacists achieve statistically significant reduction in drug related problems.</w:t>
      </w:r>
      <w:r>
        <w:rPr>
          <w:rStyle w:val="EndnoteReference"/>
        </w:rPr>
        <w:endnoteReference w:id="4"/>
      </w:r>
      <w:r>
        <w:t xml:space="preserve"> Studies that document evidence of UK-based services aiming to improve clinical handover and reduce readmissions show that: </w:t>
      </w:r>
    </w:p>
    <w:p w14:paraId="4777B50D" w14:textId="77777777" w:rsidR="0088742D" w:rsidRDefault="0088742D" w:rsidP="0088742D">
      <w:pPr>
        <w:pStyle w:val="ListParagraph"/>
        <w:numPr>
          <w:ilvl w:val="0"/>
          <w:numId w:val="22"/>
        </w:numPr>
        <w:spacing w:before="120" w:after="120" w:line="276" w:lineRule="auto"/>
        <w:jc w:val="both"/>
      </w:pPr>
      <w:r>
        <w:t>Community pharmacy follow up care is associated with lower numbers of readmissions and shorter hospital stays (Nazar et al.)</w:t>
      </w:r>
      <w:bookmarkStart w:id="3" w:name="_Ref38364493"/>
      <w:r>
        <w:rPr>
          <w:rStyle w:val="EndnoteReference"/>
        </w:rPr>
        <w:endnoteReference w:id="5"/>
      </w:r>
      <w:bookmarkEnd w:id="3"/>
    </w:p>
    <w:p w14:paraId="56699368" w14:textId="77777777" w:rsidR="0088742D" w:rsidRDefault="0088742D" w:rsidP="0088742D">
      <w:pPr>
        <w:pStyle w:val="ListParagraph"/>
        <w:numPr>
          <w:ilvl w:val="0"/>
          <w:numId w:val="22"/>
        </w:numPr>
        <w:spacing w:before="120" w:after="120" w:line="276" w:lineRule="auto"/>
        <w:jc w:val="both"/>
      </w:pPr>
      <w:r>
        <w:t>Integrated medicines management services to improve clinical handover are associated with lower rates of preventable medicines-related readmissions. (Barnett at al.)</w:t>
      </w:r>
      <w:bookmarkStart w:id="4" w:name="_Ref38363624"/>
      <w:r>
        <w:rPr>
          <w:rStyle w:val="EndnoteReference"/>
        </w:rPr>
        <w:endnoteReference w:id="6"/>
      </w:r>
      <w:bookmarkEnd w:id="4"/>
    </w:p>
    <w:p w14:paraId="2B48D4E6" w14:textId="77777777" w:rsidR="0088742D" w:rsidRDefault="0088742D" w:rsidP="0088742D">
      <w:pPr>
        <w:pStyle w:val="ListParagraph"/>
        <w:numPr>
          <w:ilvl w:val="0"/>
          <w:numId w:val="22"/>
        </w:numPr>
        <w:spacing w:before="120" w:after="120" w:line="276" w:lineRule="auto"/>
        <w:jc w:val="both"/>
      </w:pPr>
      <w:r>
        <w:t>Discharge MURs offer the opportunity for medicines reconciliation and patient education and medication counselling (Ramsbottom et al.)</w:t>
      </w:r>
      <w:bookmarkStart w:id="5" w:name="_Ref38364532"/>
      <w:r>
        <w:rPr>
          <w:rStyle w:val="EndnoteReference"/>
        </w:rPr>
        <w:endnoteReference w:id="7"/>
      </w:r>
      <w:bookmarkEnd w:id="5"/>
    </w:p>
    <w:p w14:paraId="241C4669" w14:textId="77777777" w:rsidR="0088742D" w:rsidRDefault="0088742D" w:rsidP="0088742D">
      <w:pPr>
        <w:jc w:val="both"/>
      </w:pPr>
      <w:r>
        <w:t xml:space="preserve">For a clinical handover initiative to be successful, staff need to understand the rationale for the service and hence the need for their practice to change. This process involves gathering information about </w:t>
      </w:r>
      <w:r>
        <w:lastRenderedPageBreak/>
        <w:t xml:space="preserve">local experience to construct a compelling case for change. Information that supports the case for change should be tailored so it is of direct relevance and demonstrates benefits to different target groups. The RPS innovators toolkit: </w:t>
      </w:r>
      <w:r w:rsidRPr="00E3649D">
        <w:rPr>
          <w:i/>
        </w:rPr>
        <w:t>Hospital referral to community pharmacy</w:t>
      </w:r>
      <w:bookmarkStart w:id="6" w:name="_Ref38363128"/>
      <w:r>
        <w:rPr>
          <w:rStyle w:val="EndnoteReference"/>
          <w:i/>
        </w:rPr>
        <w:endnoteReference w:id="8"/>
      </w:r>
      <w:bookmarkEnd w:id="6"/>
      <w:r>
        <w:t xml:space="preserve"> documents the benefits of referrals for individuals and are summarised in </w:t>
      </w:r>
      <w:r w:rsidRPr="000168D9">
        <w:rPr>
          <w:b/>
        </w:rPr>
        <w:t>Box 1</w:t>
      </w:r>
      <w:r>
        <w:t>.</w:t>
      </w:r>
    </w:p>
    <w:p w14:paraId="6BC5EF3A" w14:textId="77777777" w:rsidR="0088742D" w:rsidRDefault="0088742D" w:rsidP="0088742D">
      <w:pPr>
        <w:jc w:val="both"/>
      </w:pPr>
      <w:r>
        <w:rPr>
          <w:noProof/>
        </w:rPr>
        <mc:AlternateContent>
          <mc:Choice Requires="wps">
            <w:drawing>
              <wp:inline distT="0" distB="0" distL="0" distR="0" wp14:anchorId="1E6D4CDA" wp14:editId="6229FE1E">
                <wp:extent cx="5762625" cy="7200900"/>
                <wp:effectExtent l="0" t="0" r="28575" b="19050"/>
                <wp:docPr id="14" name="Text Box 14"/>
                <wp:cNvGraphicFramePr/>
                <a:graphic xmlns:a="http://schemas.openxmlformats.org/drawingml/2006/main">
                  <a:graphicData uri="http://schemas.microsoft.com/office/word/2010/wordprocessingShape">
                    <wps:wsp>
                      <wps:cNvSpPr txBox="1"/>
                      <wps:spPr>
                        <a:xfrm>
                          <a:off x="0" y="0"/>
                          <a:ext cx="5762625" cy="7200900"/>
                        </a:xfrm>
                        <a:prstGeom prst="rect">
                          <a:avLst/>
                        </a:prstGeom>
                        <a:ln/>
                        <a:effectLst>
                          <a:softEdge rad="63500"/>
                        </a:effectLst>
                      </wps:spPr>
                      <wps:style>
                        <a:lnRef idx="1">
                          <a:schemeClr val="accent1"/>
                        </a:lnRef>
                        <a:fillRef idx="2">
                          <a:schemeClr val="accent1"/>
                        </a:fillRef>
                        <a:effectRef idx="1">
                          <a:schemeClr val="accent1"/>
                        </a:effectRef>
                        <a:fontRef idx="minor">
                          <a:schemeClr val="dk1"/>
                        </a:fontRef>
                      </wps:style>
                      <wps:txbx>
                        <w:txbxContent>
                          <w:p w14:paraId="67BB7D46" w14:textId="77777777" w:rsidR="0088742D" w:rsidRDefault="0088742D" w:rsidP="0088742D">
                            <w:r>
                              <w:t>Patients:</w:t>
                            </w:r>
                          </w:p>
                          <w:p w14:paraId="1EC1DC08" w14:textId="77777777" w:rsidR="0088742D" w:rsidRDefault="0088742D" w:rsidP="0088742D">
                            <w:pPr>
                              <w:pStyle w:val="ListParagraph"/>
                              <w:numPr>
                                <w:ilvl w:val="0"/>
                                <w:numId w:val="29"/>
                              </w:numPr>
                              <w:spacing w:before="120" w:after="120" w:line="276" w:lineRule="auto"/>
                            </w:pPr>
                            <w:r>
                              <w:t>Receive support with their medicines through formal contact with their community pharmacist</w:t>
                            </w:r>
                          </w:p>
                          <w:p w14:paraId="0E22E8CA" w14:textId="77777777" w:rsidR="0088742D" w:rsidRDefault="0088742D" w:rsidP="0088742D">
                            <w:pPr>
                              <w:pStyle w:val="ListParagraph"/>
                              <w:numPr>
                                <w:ilvl w:val="0"/>
                                <w:numId w:val="29"/>
                              </w:numPr>
                              <w:spacing w:before="120" w:after="120" w:line="276" w:lineRule="auto"/>
                            </w:pPr>
                            <w:r>
                              <w:t>Reduced or no hospital admissions or emergency department attendances</w:t>
                            </w:r>
                          </w:p>
                          <w:p w14:paraId="6C49449A" w14:textId="77777777" w:rsidR="0088742D" w:rsidRDefault="0088742D" w:rsidP="0088742D">
                            <w:pPr>
                              <w:pStyle w:val="ListParagraph"/>
                              <w:numPr>
                                <w:ilvl w:val="0"/>
                                <w:numId w:val="29"/>
                              </w:numPr>
                              <w:spacing w:before="120" w:after="120" w:line="276" w:lineRule="auto"/>
                            </w:pPr>
                            <w:r>
                              <w:t>Reduced risk of re-admission as a result of medicines errors</w:t>
                            </w:r>
                          </w:p>
                          <w:p w14:paraId="51D9C320" w14:textId="77777777" w:rsidR="0088742D" w:rsidRDefault="0088742D" w:rsidP="0088742D">
                            <w:r>
                              <w:t>GPs:</w:t>
                            </w:r>
                          </w:p>
                          <w:p w14:paraId="2A1F9425" w14:textId="77777777" w:rsidR="0088742D" w:rsidRDefault="0088742D" w:rsidP="0088742D">
                            <w:pPr>
                              <w:pStyle w:val="ListParagraph"/>
                              <w:numPr>
                                <w:ilvl w:val="0"/>
                                <w:numId w:val="30"/>
                              </w:numPr>
                              <w:spacing w:before="120" w:after="120" w:line="276" w:lineRule="auto"/>
                            </w:pPr>
                            <w:r>
                              <w:t>Knowledge that the patient has engaged with a medicine optimisation consultation provides assurance that they are taking their medicines correctly and minimising waste</w:t>
                            </w:r>
                          </w:p>
                          <w:p w14:paraId="18830A0A" w14:textId="77777777" w:rsidR="0088742D" w:rsidRDefault="0088742D" w:rsidP="0088742D">
                            <w:pPr>
                              <w:pStyle w:val="ListParagraph"/>
                              <w:numPr>
                                <w:ilvl w:val="0"/>
                                <w:numId w:val="30"/>
                              </w:numPr>
                              <w:spacing w:before="120" w:after="120" w:line="276" w:lineRule="auto"/>
                            </w:pPr>
                            <w:r>
                              <w:t>Having an accurate list of medicines can be important for disease/medicine combinations as part of the Quality Outcomes Framework (QOF) indicators</w:t>
                            </w:r>
                          </w:p>
                          <w:p w14:paraId="7624D6C1" w14:textId="77777777" w:rsidR="0088742D" w:rsidRDefault="0088742D" w:rsidP="0088742D">
                            <w:r>
                              <w:t>Community pharmacists:</w:t>
                            </w:r>
                          </w:p>
                          <w:p w14:paraId="7E4FA1FF" w14:textId="77777777" w:rsidR="0088742D" w:rsidRDefault="0088742D" w:rsidP="0088742D">
                            <w:pPr>
                              <w:pStyle w:val="ListParagraph"/>
                              <w:numPr>
                                <w:ilvl w:val="0"/>
                                <w:numId w:val="31"/>
                              </w:numPr>
                              <w:spacing w:before="120" w:after="120" w:line="276" w:lineRule="auto"/>
                            </w:pPr>
                            <w:r>
                              <w:t>Facilitates better working relationships with hospitals and GPs</w:t>
                            </w:r>
                          </w:p>
                          <w:p w14:paraId="5006A574" w14:textId="77777777" w:rsidR="0088742D" w:rsidRDefault="0088742D" w:rsidP="0088742D">
                            <w:pPr>
                              <w:pStyle w:val="ListParagraph"/>
                              <w:numPr>
                                <w:ilvl w:val="0"/>
                                <w:numId w:val="31"/>
                              </w:numPr>
                              <w:spacing w:before="120" w:after="120" w:line="276" w:lineRule="auto"/>
                            </w:pPr>
                            <w:r>
                              <w:t>Facilitates better professional relationships with patients</w:t>
                            </w:r>
                          </w:p>
                          <w:p w14:paraId="2A0629AF" w14:textId="77777777" w:rsidR="0088742D" w:rsidRDefault="0088742D" w:rsidP="0088742D">
                            <w:r>
                              <w:t>Hospital pharmacist/technician</w:t>
                            </w:r>
                          </w:p>
                          <w:p w14:paraId="4979F08C" w14:textId="77777777" w:rsidR="0088742D" w:rsidRDefault="0088742D" w:rsidP="0088742D">
                            <w:pPr>
                              <w:pStyle w:val="ListParagraph"/>
                              <w:numPr>
                                <w:ilvl w:val="0"/>
                                <w:numId w:val="32"/>
                              </w:numPr>
                              <w:spacing w:before="120" w:after="120" w:line="276" w:lineRule="auto"/>
                            </w:pPr>
                            <w:r>
                              <w:t>Facilitating patient-centred seamless care</w:t>
                            </w:r>
                          </w:p>
                          <w:p w14:paraId="660DF9C2" w14:textId="77777777" w:rsidR="0088742D" w:rsidRDefault="0088742D" w:rsidP="0088742D">
                            <w:pPr>
                              <w:pStyle w:val="ListParagraph"/>
                              <w:numPr>
                                <w:ilvl w:val="0"/>
                                <w:numId w:val="32"/>
                              </w:numPr>
                              <w:spacing w:before="120" w:after="120" w:line="276" w:lineRule="auto"/>
                            </w:pPr>
                            <w:r>
                              <w:t>Builds stronger ties with community colleagues and reduces hospital admissions</w:t>
                            </w:r>
                          </w:p>
                          <w:p w14:paraId="41336B95" w14:textId="77777777" w:rsidR="0088742D" w:rsidRDefault="0088742D" w:rsidP="0088742D">
                            <w:r>
                              <w:t>Chief pharmacist</w:t>
                            </w:r>
                          </w:p>
                          <w:p w14:paraId="6CB30061" w14:textId="77777777" w:rsidR="0088742D" w:rsidRDefault="0088742D" w:rsidP="0088742D">
                            <w:pPr>
                              <w:pStyle w:val="ListParagraph"/>
                              <w:numPr>
                                <w:ilvl w:val="0"/>
                                <w:numId w:val="33"/>
                              </w:numPr>
                              <w:spacing w:before="120" w:after="120" w:line="276" w:lineRule="auto"/>
                            </w:pPr>
                            <w:r>
                              <w:t>Improvements in medicines optimisation leads to more efficient medicine usage and less waste</w:t>
                            </w:r>
                          </w:p>
                          <w:p w14:paraId="2A226D7E" w14:textId="77777777" w:rsidR="0088742D" w:rsidRDefault="0088742D" w:rsidP="0088742D">
                            <w:pPr>
                              <w:pStyle w:val="ListParagraph"/>
                              <w:numPr>
                                <w:ilvl w:val="0"/>
                                <w:numId w:val="33"/>
                              </w:numPr>
                              <w:spacing w:before="120" w:after="120" w:line="276" w:lineRule="auto"/>
                            </w:pPr>
                            <w:r>
                              <w:t>Clinical team are integrated into a wider patient pathway</w:t>
                            </w:r>
                          </w:p>
                          <w:p w14:paraId="05CF561D" w14:textId="77777777" w:rsidR="0088742D" w:rsidRDefault="0088742D" w:rsidP="0088742D">
                            <w:pPr>
                              <w:pStyle w:val="ListParagraph"/>
                            </w:pPr>
                          </w:p>
                          <w:p w14:paraId="7E275A1E" w14:textId="77777777" w:rsidR="0088742D" w:rsidRDefault="0088742D" w:rsidP="0088742D">
                            <w:pPr>
                              <w:pStyle w:val="ListParagraph"/>
                              <w:ind w:left="0"/>
                            </w:pPr>
                            <w:r>
                              <w:t>Finance director:</w:t>
                            </w:r>
                          </w:p>
                          <w:p w14:paraId="46B92AF5" w14:textId="77777777" w:rsidR="0088742D" w:rsidRDefault="0088742D" w:rsidP="0088742D">
                            <w:pPr>
                              <w:pStyle w:val="ListParagraph"/>
                              <w:numPr>
                                <w:ilvl w:val="0"/>
                                <w:numId w:val="34"/>
                              </w:numPr>
                              <w:spacing w:before="120" w:after="120" w:line="276" w:lineRule="auto"/>
                            </w:pPr>
                            <w:r>
                              <w:t>Reduced readmissions mean less bed pressures and fewer unnecessary admissions for which hospitals may not receive a full tariff payment</w:t>
                            </w:r>
                          </w:p>
                          <w:p w14:paraId="48B1CECC" w14:textId="77777777" w:rsidR="0088742D" w:rsidRDefault="0088742D" w:rsidP="0088742D">
                            <w:pPr>
                              <w:pStyle w:val="ListParagraph"/>
                              <w:numPr>
                                <w:ilvl w:val="0"/>
                                <w:numId w:val="34"/>
                              </w:numPr>
                              <w:spacing w:before="120" w:after="120" w:line="276" w:lineRule="auto"/>
                            </w:pPr>
                            <w:r>
                              <w:t>Supports financial sustainability once the practice is embedded.</w:t>
                            </w:r>
                          </w:p>
                          <w:p w14:paraId="6857411F" w14:textId="77777777" w:rsidR="0088742D" w:rsidRDefault="0088742D" w:rsidP="0088742D">
                            <w:r>
                              <w:t>CCG Medicines management/optimisation team</w:t>
                            </w:r>
                          </w:p>
                          <w:p w14:paraId="766A3A5E" w14:textId="77777777" w:rsidR="0088742D" w:rsidRDefault="0088742D" w:rsidP="0088742D">
                            <w:pPr>
                              <w:pStyle w:val="ListParagraph"/>
                              <w:numPr>
                                <w:ilvl w:val="0"/>
                                <w:numId w:val="35"/>
                              </w:numPr>
                              <w:spacing w:before="120" w:after="120" w:line="276" w:lineRule="auto"/>
                            </w:pPr>
                            <w:r>
                              <w:t>Better use of medicines so less waste</w:t>
                            </w:r>
                          </w:p>
                          <w:p w14:paraId="644E2EDE" w14:textId="77777777" w:rsidR="0088742D" w:rsidRDefault="0088742D" w:rsidP="0088742D">
                            <w:pPr>
                              <w:pStyle w:val="ListParagraph"/>
                              <w:numPr>
                                <w:ilvl w:val="0"/>
                                <w:numId w:val="35"/>
                              </w:numPr>
                              <w:spacing w:before="120" w:after="120" w:line="276" w:lineRule="auto"/>
                            </w:pPr>
                            <w:r>
                              <w:t>Better integration of patient pathways across sectors of care</w:t>
                            </w:r>
                          </w:p>
                          <w:p w14:paraId="2668EB44" w14:textId="77777777" w:rsidR="0088742D" w:rsidRDefault="0088742D" w:rsidP="0088742D">
                            <w:pPr>
                              <w:pStyle w:val="ListParagraph"/>
                              <w:numPr>
                                <w:ilvl w:val="0"/>
                                <w:numId w:val="35"/>
                              </w:numPr>
                              <w:spacing w:before="120" w:after="120" w:line="276" w:lineRule="auto"/>
                            </w:pPr>
                            <w:r>
                              <w:t>Potential to spread innovative practice to non-acute providers such as community services</w:t>
                            </w:r>
                          </w:p>
                          <w:p w14:paraId="221669C5" w14:textId="77777777" w:rsidR="0088742D" w:rsidRDefault="0088742D" w:rsidP="0088742D">
                            <w:pPr>
                              <w:pStyle w:val="ListParagraph"/>
                              <w:numPr>
                                <w:ilvl w:val="0"/>
                                <w:numId w:val="35"/>
                              </w:numPr>
                              <w:spacing w:before="120" w:after="120" w:line="276" w:lineRule="auto"/>
                            </w:pPr>
                            <w:r>
                              <w:t xml:space="preserve">If domiciliary services are in place more referrals can be made </w:t>
                            </w:r>
                          </w:p>
                          <w:p w14:paraId="50E46AC7" w14:textId="77777777" w:rsidR="0088742D" w:rsidRDefault="0088742D" w:rsidP="0088742D">
                            <w:pPr>
                              <w:pStyle w:val="ListParagraph"/>
                              <w:ind w:left="0"/>
                            </w:pPr>
                          </w:p>
                          <w:p w14:paraId="65E147AE" w14:textId="77777777" w:rsidR="0088742D" w:rsidRPr="007F16BC" w:rsidRDefault="0088742D" w:rsidP="008874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1E6D4CDA" id="_x0000_t202" coordsize="21600,21600" o:spt="202" path="m,l,21600r21600,l21600,xe">
                <v:stroke joinstyle="miter"/>
                <v:path gradientshapeok="t" o:connecttype="rect"/>
              </v:shapetype>
              <v:shape id="Text Box 14" o:spid="_x0000_s1027" type="#_x0000_t202" style="width:453.75pt;height:5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" fillcolor="#80cdee [2164]" strokecolor="#41b6e6 [3204]" strokeweight=".5pt">
                <v:fill color2="#65c3ea [2612]" rotate="t" colors="0 #a9d8f3;.5 #9ad1f0;1 #87ccf2" focus="100%" type="gradient">
                  <o:fill v:ext="view" type="gradientUnscaled"/>
                </v:fill>
                <v:textbox>
                  <w:txbxContent>
                    <w:p w14:paraId="67BB7D46" w14:textId="77777777" w:rsidR="0088742D" w:rsidRDefault="0088742D" w:rsidP="0088742D">
                      <w:r>
                        <w:t>Patients:</w:t>
                      </w:r>
                    </w:p>
                    <w:p w14:paraId="1EC1DC08" w14:textId="77777777" w:rsidR="0088742D" w:rsidRDefault="0088742D" w:rsidP="0088742D">
                      <w:pPr>
                        <w:pStyle w:val="ListParagraph"/>
                        <w:numPr>
                          <w:ilvl w:val="0"/>
                          <w:numId w:val="29"/>
                        </w:numPr>
                        <w:spacing w:before="120" w:after="120" w:line="276" w:lineRule="auto"/>
                      </w:pPr>
                      <w:r>
                        <w:t>Receive support with their medicines through formal contact with their community pharmacist</w:t>
                      </w:r>
                    </w:p>
                    <w:p w14:paraId="0E22E8CA" w14:textId="77777777" w:rsidR="0088742D" w:rsidRDefault="0088742D" w:rsidP="0088742D">
                      <w:pPr>
                        <w:pStyle w:val="ListParagraph"/>
                        <w:numPr>
                          <w:ilvl w:val="0"/>
                          <w:numId w:val="29"/>
                        </w:numPr>
                        <w:spacing w:before="120" w:after="120" w:line="276" w:lineRule="auto"/>
                      </w:pPr>
                      <w:r>
                        <w:t>Reduced or no hospital admissions or emergency department attendances</w:t>
                      </w:r>
                    </w:p>
                    <w:p w14:paraId="6C49449A" w14:textId="77777777" w:rsidR="0088742D" w:rsidRDefault="0088742D" w:rsidP="0088742D">
                      <w:pPr>
                        <w:pStyle w:val="ListParagraph"/>
                        <w:numPr>
                          <w:ilvl w:val="0"/>
                          <w:numId w:val="29"/>
                        </w:numPr>
                        <w:spacing w:before="120" w:after="120" w:line="276" w:lineRule="auto"/>
                      </w:pPr>
                      <w:r>
                        <w:t>Reduced risk of re-admission as a result of medicines errors</w:t>
                      </w:r>
                    </w:p>
                    <w:p w14:paraId="51D9C320" w14:textId="77777777" w:rsidR="0088742D" w:rsidRDefault="0088742D" w:rsidP="0088742D">
                      <w:r>
                        <w:t>GPs:</w:t>
                      </w:r>
                    </w:p>
                    <w:p w14:paraId="2A1F9425" w14:textId="77777777" w:rsidR="0088742D" w:rsidRDefault="0088742D" w:rsidP="0088742D">
                      <w:pPr>
                        <w:pStyle w:val="ListParagraph"/>
                        <w:numPr>
                          <w:ilvl w:val="0"/>
                          <w:numId w:val="30"/>
                        </w:numPr>
                        <w:spacing w:before="120" w:after="120" w:line="276" w:lineRule="auto"/>
                      </w:pPr>
                      <w:r>
                        <w:t>Knowledge that the patient has engaged with a medicine optimisation consultation provides assurance that they are taking their medicines correctly and minimising waste</w:t>
                      </w:r>
                    </w:p>
                    <w:p w14:paraId="18830A0A" w14:textId="77777777" w:rsidR="0088742D" w:rsidRDefault="0088742D" w:rsidP="0088742D">
                      <w:pPr>
                        <w:pStyle w:val="ListParagraph"/>
                        <w:numPr>
                          <w:ilvl w:val="0"/>
                          <w:numId w:val="30"/>
                        </w:numPr>
                        <w:spacing w:before="120" w:after="120" w:line="276" w:lineRule="auto"/>
                      </w:pPr>
                      <w:r>
                        <w:t>Having an accurate list of medicines can be important for disease/medicine combinations as part of the Quality Outcomes Framework (QOF) indicators</w:t>
                      </w:r>
                    </w:p>
                    <w:p w14:paraId="7624D6C1" w14:textId="77777777" w:rsidR="0088742D" w:rsidRDefault="0088742D" w:rsidP="0088742D">
                      <w:r>
                        <w:t>Community pharmacists:</w:t>
                      </w:r>
                    </w:p>
                    <w:p w14:paraId="7E4FA1FF" w14:textId="77777777" w:rsidR="0088742D" w:rsidRDefault="0088742D" w:rsidP="0088742D">
                      <w:pPr>
                        <w:pStyle w:val="ListParagraph"/>
                        <w:numPr>
                          <w:ilvl w:val="0"/>
                          <w:numId w:val="31"/>
                        </w:numPr>
                        <w:spacing w:before="120" w:after="120" w:line="276" w:lineRule="auto"/>
                      </w:pPr>
                      <w:r>
                        <w:t>Facilitates better working relationships with hospitals and GPs</w:t>
                      </w:r>
                    </w:p>
                    <w:p w14:paraId="5006A574" w14:textId="77777777" w:rsidR="0088742D" w:rsidRDefault="0088742D" w:rsidP="0088742D">
                      <w:pPr>
                        <w:pStyle w:val="ListParagraph"/>
                        <w:numPr>
                          <w:ilvl w:val="0"/>
                          <w:numId w:val="31"/>
                        </w:numPr>
                        <w:spacing w:before="120" w:after="120" w:line="276" w:lineRule="auto"/>
                      </w:pPr>
                      <w:r>
                        <w:t>Facilitates better professional relationships with patients</w:t>
                      </w:r>
                    </w:p>
                    <w:p w14:paraId="2A0629AF" w14:textId="77777777" w:rsidR="0088742D" w:rsidRDefault="0088742D" w:rsidP="0088742D">
                      <w:r>
                        <w:t>Hospital pharmacist/technician</w:t>
                      </w:r>
                    </w:p>
                    <w:p w14:paraId="4979F08C" w14:textId="77777777" w:rsidR="0088742D" w:rsidRDefault="0088742D" w:rsidP="0088742D">
                      <w:pPr>
                        <w:pStyle w:val="ListParagraph"/>
                        <w:numPr>
                          <w:ilvl w:val="0"/>
                          <w:numId w:val="32"/>
                        </w:numPr>
                        <w:spacing w:before="120" w:after="120" w:line="276" w:lineRule="auto"/>
                      </w:pPr>
                      <w:r>
                        <w:t>Facilitating patient-centred seamless care</w:t>
                      </w:r>
                    </w:p>
                    <w:p w14:paraId="660DF9C2" w14:textId="77777777" w:rsidR="0088742D" w:rsidRDefault="0088742D" w:rsidP="0088742D">
                      <w:pPr>
                        <w:pStyle w:val="ListParagraph"/>
                        <w:numPr>
                          <w:ilvl w:val="0"/>
                          <w:numId w:val="32"/>
                        </w:numPr>
                        <w:spacing w:before="120" w:after="120" w:line="276" w:lineRule="auto"/>
                      </w:pPr>
                      <w:r>
                        <w:t>Builds stronger ties with community colleagues and reduces hospital admissions</w:t>
                      </w:r>
                    </w:p>
                    <w:p w14:paraId="41336B95" w14:textId="77777777" w:rsidR="0088742D" w:rsidRDefault="0088742D" w:rsidP="0088742D">
                      <w:r>
                        <w:t>Chief pharmacist</w:t>
                      </w:r>
                    </w:p>
                    <w:p w14:paraId="6CB30061" w14:textId="77777777" w:rsidR="0088742D" w:rsidRDefault="0088742D" w:rsidP="0088742D">
                      <w:pPr>
                        <w:pStyle w:val="ListParagraph"/>
                        <w:numPr>
                          <w:ilvl w:val="0"/>
                          <w:numId w:val="33"/>
                        </w:numPr>
                        <w:spacing w:before="120" w:after="120" w:line="276" w:lineRule="auto"/>
                      </w:pPr>
                      <w:r>
                        <w:t>Improvements in medicines optimisation leads to more efficient medicine usage and less waste</w:t>
                      </w:r>
                    </w:p>
                    <w:p w14:paraId="2A226D7E" w14:textId="77777777" w:rsidR="0088742D" w:rsidRDefault="0088742D" w:rsidP="0088742D">
                      <w:pPr>
                        <w:pStyle w:val="ListParagraph"/>
                        <w:numPr>
                          <w:ilvl w:val="0"/>
                          <w:numId w:val="33"/>
                        </w:numPr>
                        <w:spacing w:before="120" w:after="120" w:line="276" w:lineRule="auto"/>
                      </w:pPr>
                      <w:r>
                        <w:t>Clinical team are integrated into a wider patient pathway</w:t>
                      </w:r>
                    </w:p>
                    <w:p w14:paraId="05CF561D" w14:textId="77777777" w:rsidR="0088742D" w:rsidRDefault="0088742D" w:rsidP="0088742D">
                      <w:pPr>
                        <w:pStyle w:val="ListParagraph"/>
                      </w:pPr>
                    </w:p>
                    <w:p w14:paraId="7E275A1E" w14:textId="77777777" w:rsidR="0088742D" w:rsidRDefault="0088742D" w:rsidP="0088742D">
                      <w:pPr>
                        <w:pStyle w:val="ListParagraph"/>
                        <w:ind w:left="0"/>
                      </w:pPr>
                      <w:r>
                        <w:t>Finance director:</w:t>
                      </w:r>
                    </w:p>
                    <w:p w14:paraId="46B92AF5" w14:textId="77777777" w:rsidR="0088742D" w:rsidRDefault="0088742D" w:rsidP="0088742D">
                      <w:pPr>
                        <w:pStyle w:val="ListParagraph"/>
                        <w:numPr>
                          <w:ilvl w:val="0"/>
                          <w:numId w:val="34"/>
                        </w:numPr>
                        <w:spacing w:before="120" w:after="120" w:line="276" w:lineRule="auto"/>
                      </w:pPr>
                      <w:r>
                        <w:t>Reduced readmissions mean less bed pressures and fewer unnecessary admissions for which hospitals may not receive a full tariff payment</w:t>
                      </w:r>
                    </w:p>
                    <w:p w14:paraId="48B1CECC" w14:textId="77777777" w:rsidR="0088742D" w:rsidRDefault="0088742D" w:rsidP="0088742D">
                      <w:pPr>
                        <w:pStyle w:val="ListParagraph"/>
                        <w:numPr>
                          <w:ilvl w:val="0"/>
                          <w:numId w:val="34"/>
                        </w:numPr>
                        <w:spacing w:before="120" w:after="120" w:line="276" w:lineRule="auto"/>
                      </w:pPr>
                      <w:r>
                        <w:t>Supports financial sustainability once the practice is embedded.</w:t>
                      </w:r>
                    </w:p>
                    <w:p w14:paraId="6857411F" w14:textId="77777777" w:rsidR="0088742D" w:rsidRDefault="0088742D" w:rsidP="0088742D">
                      <w:r>
                        <w:t>CCG Medicines management/optimisation team</w:t>
                      </w:r>
                    </w:p>
                    <w:p w14:paraId="766A3A5E" w14:textId="77777777" w:rsidR="0088742D" w:rsidRDefault="0088742D" w:rsidP="0088742D">
                      <w:pPr>
                        <w:pStyle w:val="ListParagraph"/>
                        <w:numPr>
                          <w:ilvl w:val="0"/>
                          <w:numId w:val="35"/>
                        </w:numPr>
                        <w:spacing w:before="120" w:after="120" w:line="276" w:lineRule="auto"/>
                      </w:pPr>
                      <w:r>
                        <w:t>Better use of medicines so less waste</w:t>
                      </w:r>
                    </w:p>
                    <w:p w14:paraId="644E2EDE" w14:textId="77777777" w:rsidR="0088742D" w:rsidRDefault="0088742D" w:rsidP="0088742D">
                      <w:pPr>
                        <w:pStyle w:val="ListParagraph"/>
                        <w:numPr>
                          <w:ilvl w:val="0"/>
                          <w:numId w:val="35"/>
                        </w:numPr>
                        <w:spacing w:before="120" w:after="120" w:line="276" w:lineRule="auto"/>
                      </w:pPr>
                      <w:r>
                        <w:t>Better integration of patient pathways across sectors of care</w:t>
                      </w:r>
                    </w:p>
                    <w:p w14:paraId="2668EB44" w14:textId="77777777" w:rsidR="0088742D" w:rsidRDefault="0088742D" w:rsidP="0088742D">
                      <w:pPr>
                        <w:pStyle w:val="ListParagraph"/>
                        <w:numPr>
                          <w:ilvl w:val="0"/>
                          <w:numId w:val="35"/>
                        </w:numPr>
                        <w:spacing w:before="120" w:after="120" w:line="276" w:lineRule="auto"/>
                      </w:pPr>
                      <w:r>
                        <w:t>Potential to spread innovative practice to non-acute providers such as community services</w:t>
                      </w:r>
                    </w:p>
                    <w:p w14:paraId="221669C5" w14:textId="77777777" w:rsidR="0088742D" w:rsidRDefault="0088742D" w:rsidP="0088742D">
                      <w:pPr>
                        <w:pStyle w:val="ListParagraph"/>
                        <w:numPr>
                          <w:ilvl w:val="0"/>
                          <w:numId w:val="35"/>
                        </w:numPr>
                        <w:spacing w:before="120" w:after="120" w:line="276" w:lineRule="auto"/>
                      </w:pPr>
                      <w:r>
                        <w:t xml:space="preserve">If domiciliary services are in place more referrals can be made </w:t>
                      </w:r>
                    </w:p>
                    <w:p w14:paraId="50E46AC7" w14:textId="77777777" w:rsidR="0088742D" w:rsidRDefault="0088742D" w:rsidP="0088742D">
                      <w:pPr>
                        <w:pStyle w:val="ListParagraph"/>
                        <w:ind w:left="0"/>
                      </w:pPr>
                    </w:p>
                    <w:p w14:paraId="65E147AE" w14:textId="77777777" w:rsidR="0088742D" w:rsidRPr="007F16BC" w:rsidRDefault="0088742D" w:rsidP="0088742D"/>
                  </w:txbxContent>
                </v:textbox>
                <w10:anchorlock/>
              </v:shape>
            </w:pict>
          </mc:Fallback>
        </mc:AlternateContent>
      </w:r>
    </w:p>
    <w:p w14:paraId="2377700B" w14:textId="77777777" w:rsidR="0088742D" w:rsidRDefault="0088742D" w:rsidP="0088742D">
      <w:pPr>
        <w:jc w:val="both"/>
        <w:rPr>
          <w:vertAlign w:val="superscript"/>
        </w:rPr>
      </w:pPr>
      <w:r w:rsidRPr="000168D9">
        <w:rPr>
          <w:b/>
        </w:rPr>
        <w:t xml:space="preserve">Box 1. </w:t>
      </w:r>
      <w:r>
        <w:t>Some benefits of effective clinical handover services for groups of stakeholders.</w:t>
      </w:r>
      <w:r w:rsidRPr="0090386E">
        <w:rPr>
          <w:vertAlign w:val="superscript"/>
        </w:rPr>
        <w:fldChar w:fldCharType="begin"/>
      </w:r>
      <w:r w:rsidRPr="0090386E">
        <w:rPr>
          <w:vertAlign w:val="superscript"/>
        </w:rPr>
        <w:instrText xml:space="preserve"> NOTEREF _Ref38363128 \h </w:instrText>
      </w:r>
      <w:r w:rsidRPr="0090386E">
        <w:rPr>
          <w:vertAlign w:val="superscript"/>
        </w:rPr>
      </w:r>
      <w:r>
        <w:rPr>
          <w:vertAlign w:val="superscript"/>
        </w:rPr>
        <w:instrText xml:space="preserve"> \* MERGEFORMAT </w:instrText>
      </w:r>
      <w:r w:rsidRPr="0090386E">
        <w:rPr>
          <w:vertAlign w:val="superscript"/>
        </w:rPr>
        <w:fldChar w:fldCharType="separate"/>
      </w:r>
      <w:r w:rsidRPr="0090386E">
        <w:rPr>
          <w:vertAlign w:val="superscript"/>
        </w:rPr>
        <w:t>8</w:t>
      </w:r>
      <w:r w:rsidRPr="0090386E">
        <w:rPr>
          <w:vertAlign w:val="superscript"/>
        </w:rPr>
        <w:fldChar w:fldCharType="end"/>
      </w:r>
    </w:p>
    <w:p w14:paraId="38122618" w14:textId="77777777" w:rsidR="0088742D" w:rsidRDefault="0088742D" w:rsidP="0088742D">
      <w:pPr>
        <w:jc w:val="both"/>
        <w:rPr>
          <w:vertAlign w:val="superscript"/>
        </w:rPr>
      </w:pPr>
    </w:p>
    <w:p w14:paraId="2855541D" w14:textId="77777777" w:rsidR="0088742D" w:rsidRDefault="0088742D" w:rsidP="0088742D">
      <w:pPr>
        <w:pStyle w:val="Heading2"/>
        <w:keepNext/>
        <w:keepLines/>
        <w:numPr>
          <w:ilvl w:val="1"/>
          <w:numId w:val="17"/>
        </w:numPr>
        <w:spacing w:before="480" w:after="120" w:line="276" w:lineRule="auto"/>
      </w:pPr>
      <w:bookmarkStart w:id="7" w:name="_Toc38369978"/>
      <w:r>
        <w:lastRenderedPageBreak/>
        <w:t>Enlist influential leaders and champions</w:t>
      </w:r>
      <w:bookmarkEnd w:id="7"/>
    </w:p>
    <w:p w14:paraId="6C88A06B" w14:textId="77777777" w:rsidR="0088742D" w:rsidRDefault="0088742D" w:rsidP="0088742D">
      <w:pPr>
        <w:jc w:val="both"/>
      </w:pPr>
      <w:r>
        <w:t xml:space="preserve">This Toolkit is primarily designed for those working to implement or optimise a clinical handover initiative. However, an executive leadership can provide vision, structure and support mechanisms. </w:t>
      </w:r>
    </w:p>
    <w:p w14:paraId="507F1870" w14:textId="77777777" w:rsidR="0088742D" w:rsidRDefault="0088742D" w:rsidP="0088742D">
      <w:pPr>
        <w:jc w:val="both"/>
      </w:pPr>
      <w:r>
        <w:t xml:space="preserve">The RPS innovator’s toolkit: </w:t>
      </w:r>
      <w:r w:rsidRPr="00E3649D">
        <w:rPr>
          <w:i/>
        </w:rPr>
        <w:t>Hospital referral to community pharmacy</w:t>
      </w:r>
      <w:r>
        <w:t>,</w:t>
      </w:r>
      <w:r w:rsidRPr="0090386E">
        <w:rPr>
          <w:vertAlign w:val="superscript"/>
        </w:rPr>
        <w:fldChar w:fldCharType="begin"/>
      </w:r>
      <w:r w:rsidRPr="0090386E">
        <w:rPr>
          <w:vertAlign w:val="superscript"/>
        </w:rPr>
        <w:instrText xml:space="preserve"> NOTEREF _Ref38363128 \h </w:instrText>
      </w:r>
      <w:r w:rsidRPr="0090386E">
        <w:rPr>
          <w:vertAlign w:val="superscript"/>
        </w:rPr>
      </w:r>
      <w:r w:rsidRPr="0090386E">
        <w:rPr>
          <w:vertAlign w:val="superscript"/>
        </w:rPr>
        <w:instrText xml:space="preserve"> \* MERGEFORMAT </w:instrText>
      </w:r>
      <w:r w:rsidRPr="0090386E">
        <w:rPr>
          <w:vertAlign w:val="superscript"/>
        </w:rPr>
        <w:fldChar w:fldCharType="separate"/>
      </w:r>
      <w:r w:rsidRPr="0090386E">
        <w:rPr>
          <w:vertAlign w:val="superscript"/>
        </w:rPr>
        <w:t>8</w:t>
      </w:r>
      <w:r w:rsidRPr="0090386E">
        <w:rPr>
          <w:vertAlign w:val="superscript"/>
        </w:rPr>
        <w:fldChar w:fldCharType="end"/>
      </w:r>
      <w:r>
        <w:t xml:space="preserve"> recommends that the group should initially include a hospital lead, the chair of Local Professional Network (LPN), a lead from the Local Pharmaceutical Committee (LPC), a Clinical Commissioning Group (CCG) medicines management/optimisation lead and patient representatives. The local AHSN will be able to facilitate spread and implementation across the area. </w:t>
      </w:r>
    </w:p>
    <w:p w14:paraId="36D96C5C" w14:textId="77777777" w:rsidR="0088742D" w:rsidRDefault="0088742D" w:rsidP="0088742D">
      <w:pPr>
        <w:jc w:val="both"/>
      </w:pPr>
      <w:r>
        <w:rPr>
          <w:noProof/>
        </w:rPr>
        <mc:AlternateContent>
          <mc:Choice Requires="wps">
            <w:drawing>
              <wp:anchor distT="0" distB="0" distL="114300" distR="114300" simplePos="0" relativeHeight="251663360" behindDoc="1" locked="0" layoutInCell="1" allowOverlap="1" wp14:anchorId="0006A436" wp14:editId="19D660E5">
                <wp:simplePos x="0" y="0"/>
                <wp:positionH relativeFrom="column">
                  <wp:posOffset>381000</wp:posOffset>
                </wp:positionH>
                <wp:positionV relativeFrom="paragraph">
                  <wp:posOffset>637858</wp:posOffset>
                </wp:positionV>
                <wp:extent cx="5295900" cy="5014913"/>
                <wp:effectExtent l="0" t="0" r="19050" b="14605"/>
                <wp:wrapNone/>
                <wp:docPr id="9" name="Rectangle 9"/>
                <wp:cNvGraphicFramePr/>
                <a:graphic xmlns:a="http://schemas.openxmlformats.org/drawingml/2006/main">
                  <a:graphicData uri="http://schemas.microsoft.com/office/word/2010/wordprocessingShape">
                    <wps:wsp>
                      <wps:cNvSpPr/>
                      <wps:spPr>
                        <a:xfrm>
                          <a:off x="0" y="0"/>
                          <a:ext cx="5295900" cy="5014913"/>
                        </a:xfrm>
                        <a:prstGeom prst="rect">
                          <a:avLst/>
                        </a:prstGeom>
                        <a:effectLst>
                          <a:softEdge rad="63500"/>
                        </a:effectLst>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1138BB" id="Rectangle 9" o:spid="_x0000_s1026" style="position:absolute;margin-left:30pt;margin-top:50.25pt;width:417pt;height:394.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" fillcolor="#80cdee [2164]" strokecolor="#41b6e6 [3204]" strokeweight=".5pt">
                <v:fill color2="#65c3ea [2612]" rotate="t" colors="0 #a9d8f3;.5 #9ad1f0;1 #87ccf2" focus="100%" type="gradient">
                  <o:fill v:ext="view" type="gradientUnscaled"/>
                </v:fill>
              </v:rect>
            </w:pict>
          </mc:Fallback>
        </mc:AlternateContent>
      </w:r>
      <w:r>
        <w:t xml:space="preserve">These stakeholders should all have a role and responsibility in the design and delivery of high quality patient care. Linking the clinical handover with the stakeholders’ other key performance indicators, goals and initiatives will facilitate its successful implementation and adoption. </w:t>
      </w:r>
    </w:p>
    <w:tbl>
      <w:tblPr>
        <w:tblStyle w:val="GridTable4-Accent51"/>
        <w:tblpPr w:leftFromText="180" w:rightFromText="180" w:vertAnchor="text" w:horzAnchor="page" w:tblpX="2609" w:tblpY="231"/>
        <w:tblW w:w="0" w:type="auto"/>
        <w:tblLook w:val="04A0" w:firstRow="1" w:lastRow="0" w:firstColumn="1" w:lastColumn="0" w:noHBand="0" w:noVBand="1"/>
      </w:tblPr>
      <w:tblGrid>
        <w:gridCol w:w="1668"/>
        <w:gridCol w:w="5495"/>
      </w:tblGrid>
      <w:tr w:rsidR="0088742D" w:rsidRPr="008142B5" w14:paraId="395D087F" w14:textId="77777777" w:rsidTr="0088742D">
        <w:trPr>
          <w:cnfStyle w:val="100000000000" w:firstRow="1" w:lastRow="0" w:firstColumn="0" w:lastColumn="0" w:oddVBand="0" w:evenVBand="0" w:oddHBand="0"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1668" w:type="dxa"/>
          </w:tcPr>
          <w:p w14:paraId="4E1EDFEF" w14:textId="77777777" w:rsidR="0088742D" w:rsidRPr="00DA6F9F" w:rsidRDefault="0088742D" w:rsidP="0088742D">
            <w:pPr>
              <w:spacing w:after="0"/>
              <w:rPr>
                <w:rFonts w:eastAsia="Times New Roman" w:cstheme="minorHAnsi"/>
                <w:color w:val="212121"/>
                <w:szCs w:val="23"/>
              </w:rPr>
            </w:pPr>
            <w:r>
              <w:rPr>
                <w:rFonts w:eastAsia="Times New Roman" w:cstheme="minorHAnsi"/>
                <w:color w:val="212121"/>
                <w:szCs w:val="23"/>
              </w:rPr>
              <w:t xml:space="preserve">Stakeholder </w:t>
            </w:r>
          </w:p>
        </w:tc>
        <w:tc>
          <w:tcPr>
            <w:tcW w:w="5495" w:type="dxa"/>
          </w:tcPr>
          <w:p w14:paraId="1181BDDA" w14:textId="77777777" w:rsidR="0088742D" w:rsidRPr="00DA6F9F" w:rsidRDefault="0088742D" w:rsidP="0088742D">
            <w:pPr>
              <w:spacing w:after="0"/>
              <w:cnfStyle w:val="100000000000" w:firstRow="1" w:lastRow="0" w:firstColumn="0" w:lastColumn="0" w:oddVBand="0" w:evenVBand="0" w:oddHBand="0" w:evenHBand="0" w:firstRowFirstColumn="0" w:firstRowLastColumn="0" w:lastRowFirstColumn="0" w:lastRowLastColumn="0"/>
              <w:rPr>
                <w:rFonts w:eastAsia="Times New Roman" w:cstheme="minorHAnsi"/>
                <w:color w:val="212121"/>
                <w:szCs w:val="23"/>
              </w:rPr>
            </w:pPr>
            <w:r>
              <w:rPr>
                <w:rFonts w:eastAsia="Times New Roman" w:cstheme="minorHAnsi"/>
                <w:color w:val="212121"/>
                <w:szCs w:val="23"/>
              </w:rPr>
              <w:t>Role and responsibility</w:t>
            </w:r>
          </w:p>
        </w:tc>
      </w:tr>
      <w:tr w:rsidR="0088742D" w:rsidRPr="008142B5" w14:paraId="2A083431" w14:textId="77777777" w:rsidTr="0088742D">
        <w:trPr>
          <w:cnfStyle w:val="000000100000" w:firstRow="0" w:lastRow="0" w:firstColumn="0" w:lastColumn="0" w:oddVBand="0" w:evenVBand="0" w:oddHBand="1"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1668" w:type="dxa"/>
            <w:hideMark/>
          </w:tcPr>
          <w:p w14:paraId="411BC1BC" w14:textId="77777777" w:rsidR="0088742D" w:rsidRPr="00DA6F9F" w:rsidRDefault="0088742D" w:rsidP="0088742D">
            <w:pPr>
              <w:spacing w:after="0"/>
              <w:rPr>
                <w:rFonts w:eastAsia="Times New Roman" w:cstheme="minorHAnsi"/>
                <w:color w:val="212121"/>
                <w:szCs w:val="23"/>
              </w:rPr>
            </w:pPr>
            <w:r w:rsidRPr="00DA6F9F">
              <w:rPr>
                <w:rFonts w:eastAsia="Times New Roman" w:cstheme="minorHAnsi"/>
                <w:color w:val="212121"/>
                <w:szCs w:val="23"/>
              </w:rPr>
              <w:t>Local Pharmaceutical Committee</w:t>
            </w:r>
            <w:r>
              <w:rPr>
                <w:rFonts w:eastAsia="Times New Roman" w:cstheme="minorHAnsi"/>
                <w:color w:val="212121"/>
                <w:szCs w:val="23"/>
              </w:rPr>
              <w:t xml:space="preserve"> (LPC)</w:t>
            </w:r>
          </w:p>
        </w:tc>
        <w:tc>
          <w:tcPr>
            <w:tcW w:w="5495" w:type="dxa"/>
            <w:hideMark/>
          </w:tcPr>
          <w:p w14:paraId="60E41BB7" w14:textId="77777777" w:rsidR="0088742D" w:rsidRPr="00DA6F9F" w:rsidRDefault="0088742D" w:rsidP="0088742D">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212121"/>
                <w:szCs w:val="23"/>
              </w:rPr>
            </w:pPr>
            <w:r w:rsidRPr="00DA6F9F">
              <w:rPr>
                <w:rFonts w:eastAsia="Times New Roman" w:cstheme="minorHAnsi"/>
                <w:color w:val="212121"/>
                <w:szCs w:val="23"/>
              </w:rPr>
              <w:t xml:space="preserve">Provide the vital link to all Community pharmacy contractors in the area and provide essential support for the roll out and sustainability of the project. </w:t>
            </w:r>
          </w:p>
        </w:tc>
      </w:tr>
      <w:tr w:rsidR="0088742D" w:rsidRPr="008142B5" w14:paraId="3264C9BE" w14:textId="77777777" w:rsidTr="0088742D">
        <w:trPr>
          <w:trHeight w:val="598"/>
        </w:trPr>
        <w:tc>
          <w:tcPr>
            <w:cnfStyle w:val="001000000000" w:firstRow="0" w:lastRow="0" w:firstColumn="1" w:lastColumn="0" w:oddVBand="0" w:evenVBand="0" w:oddHBand="0" w:evenHBand="0" w:firstRowFirstColumn="0" w:firstRowLastColumn="0" w:lastRowFirstColumn="0" w:lastRowLastColumn="0"/>
            <w:tcW w:w="1668" w:type="dxa"/>
            <w:hideMark/>
          </w:tcPr>
          <w:p w14:paraId="17C7072E" w14:textId="77777777" w:rsidR="0088742D" w:rsidRPr="00DA6F9F" w:rsidRDefault="0088742D" w:rsidP="0088742D">
            <w:pPr>
              <w:spacing w:after="0"/>
              <w:rPr>
                <w:rFonts w:eastAsia="Times New Roman" w:cstheme="minorHAnsi"/>
                <w:color w:val="212121"/>
                <w:szCs w:val="23"/>
              </w:rPr>
            </w:pPr>
            <w:r w:rsidRPr="00DA6F9F">
              <w:rPr>
                <w:rFonts w:eastAsia="Times New Roman" w:cstheme="minorHAnsi"/>
                <w:color w:val="212121"/>
                <w:szCs w:val="23"/>
              </w:rPr>
              <w:t>Local Professional Network</w:t>
            </w:r>
            <w:r>
              <w:rPr>
                <w:rFonts w:eastAsia="Times New Roman" w:cstheme="minorHAnsi"/>
                <w:color w:val="212121"/>
                <w:szCs w:val="23"/>
              </w:rPr>
              <w:t xml:space="preserve"> (LPN)</w:t>
            </w:r>
          </w:p>
        </w:tc>
        <w:tc>
          <w:tcPr>
            <w:tcW w:w="5495" w:type="dxa"/>
            <w:hideMark/>
          </w:tcPr>
          <w:p w14:paraId="496B3F36" w14:textId="77777777" w:rsidR="0088742D" w:rsidRPr="00DA6F9F" w:rsidRDefault="0088742D" w:rsidP="0088742D">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Cs w:val="23"/>
              </w:rPr>
            </w:pPr>
            <w:r w:rsidRPr="00DA6F9F">
              <w:rPr>
                <w:rFonts w:eastAsia="Times New Roman" w:cstheme="minorHAnsi"/>
                <w:color w:val="212121"/>
                <w:szCs w:val="23"/>
              </w:rPr>
              <w:t xml:space="preserve">Provide the links to NHS England locally and can help to ensure pharmacy contractors are aware of the project and their responsibilities. </w:t>
            </w:r>
          </w:p>
        </w:tc>
      </w:tr>
      <w:tr w:rsidR="0088742D" w:rsidRPr="008142B5" w14:paraId="58EEFCE3" w14:textId="77777777" w:rsidTr="0088742D">
        <w:trPr>
          <w:cnfStyle w:val="000000100000" w:firstRow="0" w:lastRow="0" w:firstColumn="0" w:lastColumn="0" w:oddVBand="0" w:evenVBand="0" w:oddHBand="1" w:evenHBand="0" w:firstRowFirstColumn="0" w:firstRowLastColumn="0" w:lastRowFirstColumn="0" w:lastRowLastColumn="0"/>
          <w:trHeight w:val="991"/>
        </w:trPr>
        <w:tc>
          <w:tcPr>
            <w:cnfStyle w:val="001000000000" w:firstRow="0" w:lastRow="0" w:firstColumn="1" w:lastColumn="0" w:oddVBand="0" w:evenVBand="0" w:oddHBand="0" w:evenHBand="0" w:firstRowFirstColumn="0" w:firstRowLastColumn="0" w:lastRowFirstColumn="0" w:lastRowLastColumn="0"/>
            <w:tcW w:w="1668" w:type="dxa"/>
            <w:hideMark/>
          </w:tcPr>
          <w:p w14:paraId="5F9C50AB" w14:textId="77777777" w:rsidR="0088742D" w:rsidRPr="00DA6F9F" w:rsidRDefault="0088742D" w:rsidP="0088742D">
            <w:pPr>
              <w:spacing w:after="0"/>
              <w:rPr>
                <w:rFonts w:eastAsia="Times New Roman" w:cstheme="minorHAnsi"/>
                <w:color w:val="212121"/>
                <w:szCs w:val="23"/>
              </w:rPr>
            </w:pPr>
            <w:r w:rsidRPr="00DA6F9F">
              <w:rPr>
                <w:rFonts w:eastAsia="Times New Roman" w:cstheme="minorHAnsi"/>
                <w:color w:val="212121"/>
                <w:szCs w:val="23"/>
              </w:rPr>
              <w:t>CCGs</w:t>
            </w:r>
          </w:p>
        </w:tc>
        <w:tc>
          <w:tcPr>
            <w:tcW w:w="5495" w:type="dxa"/>
            <w:hideMark/>
          </w:tcPr>
          <w:p w14:paraId="0ACF9760" w14:textId="77777777" w:rsidR="0088742D" w:rsidRPr="00DA6F9F" w:rsidRDefault="0088742D" w:rsidP="0088742D">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212121"/>
                <w:szCs w:val="23"/>
              </w:rPr>
            </w:pPr>
            <w:r w:rsidRPr="00DA6F9F">
              <w:rPr>
                <w:rFonts w:eastAsia="Times New Roman" w:cstheme="minorHAnsi"/>
                <w:color w:val="212121"/>
                <w:szCs w:val="23"/>
              </w:rPr>
              <w:t xml:space="preserve">Can ensure that levers are in place to embed the referral pathway. They may put it in the local commissioning intensions or endorse Trust QIPP plans out help ensure the local STP/ ICS is aware of the benefits </w:t>
            </w:r>
          </w:p>
        </w:tc>
      </w:tr>
      <w:tr w:rsidR="0088742D" w:rsidRPr="008142B5" w14:paraId="607C8195" w14:textId="77777777" w:rsidTr="0088742D">
        <w:trPr>
          <w:trHeight w:val="792"/>
        </w:trPr>
        <w:tc>
          <w:tcPr>
            <w:cnfStyle w:val="001000000000" w:firstRow="0" w:lastRow="0" w:firstColumn="1" w:lastColumn="0" w:oddVBand="0" w:evenVBand="0" w:oddHBand="0" w:evenHBand="0" w:firstRowFirstColumn="0" w:firstRowLastColumn="0" w:lastRowFirstColumn="0" w:lastRowLastColumn="0"/>
            <w:tcW w:w="1668" w:type="dxa"/>
            <w:hideMark/>
          </w:tcPr>
          <w:p w14:paraId="63688773" w14:textId="77777777" w:rsidR="0088742D" w:rsidRPr="00DA6F9F" w:rsidRDefault="0088742D" w:rsidP="0088742D">
            <w:pPr>
              <w:spacing w:after="0"/>
              <w:rPr>
                <w:rFonts w:eastAsia="Times New Roman" w:cstheme="minorHAnsi"/>
                <w:color w:val="212121"/>
                <w:szCs w:val="23"/>
              </w:rPr>
            </w:pPr>
            <w:r>
              <w:rPr>
                <w:rFonts w:eastAsia="Times New Roman" w:cstheme="minorHAnsi"/>
                <w:color w:val="212121"/>
                <w:szCs w:val="23"/>
              </w:rPr>
              <w:t>Sustainability and Transformation Partnerships (STPs)</w:t>
            </w:r>
            <w:r w:rsidRPr="00DA6F9F">
              <w:rPr>
                <w:rFonts w:eastAsia="Times New Roman" w:cstheme="minorHAnsi"/>
                <w:color w:val="212121"/>
                <w:szCs w:val="23"/>
              </w:rPr>
              <w:t>/ I</w:t>
            </w:r>
            <w:r>
              <w:rPr>
                <w:rFonts w:eastAsia="Times New Roman" w:cstheme="minorHAnsi"/>
                <w:color w:val="212121"/>
                <w:szCs w:val="23"/>
              </w:rPr>
              <w:t xml:space="preserve">ntegrated </w:t>
            </w:r>
            <w:r w:rsidRPr="00DA6F9F">
              <w:rPr>
                <w:rFonts w:eastAsia="Times New Roman" w:cstheme="minorHAnsi"/>
                <w:color w:val="212121"/>
                <w:szCs w:val="23"/>
              </w:rPr>
              <w:t>C</w:t>
            </w:r>
            <w:r>
              <w:rPr>
                <w:rFonts w:eastAsia="Times New Roman" w:cstheme="minorHAnsi"/>
                <w:color w:val="212121"/>
                <w:szCs w:val="23"/>
              </w:rPr>
              <w:t xml:space="preserve">are </w:t>
            </w:r>
            <w:r w:rsidRPr="00DA6F9F">
              <w:rPr>
                <w:rFonts w:eastAsia="Times New Roman" w:cstheme="minorHAnsi"/>
                <w:color w:val="212121"/>
                <w:szCs w:val="23"/>
              </w:rPr>
              <w:t>S</w:t>
            </w:r>
            <w:r>
              <w:rPr>
                <w:rFonts w:eastAsia="Times New Roman" w:cstheme="minorHAnsi"/>
                <w:color w:val="212121"/>
                <w:szCs w:val="23"/>
              </w:rPr>
              <w:t>ystems (ICS)</w:t>
            </w:r>
          </w:p>
        </w:tc>
        <w:tc>
          <w:tcPr>
            <w:tcW w:w="5495" w:type="dxa"/>
            <w:hideMark/>
          </w:tcPr>
          <w:p w14:paraId="3C2131B3" w14:textId="77777777" w:rsidR="0088742D" w:rsidRPr="00DA6F9F" w:rsidRDefault="0088742D" w:rsidP="0088742D">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Cs w:val="23"/>
              </w:rPr>
            </w:pPr>
            <w:r w:rsidRPr="00DA6F9F">
              <w:rPr>
                <w:rFonts w:eastAsia="Times New Roman" w:cstheme="minorHAnsi"/>
                <w:color w:val="212121"/>
                <w:szCs w:val="23"/>
              </w:rPr>
              <w:t xml:space="preserve">Responsible for ensuring effective transformation of services and “reducing avoidable readmissions” is a key element of what they are addressing. They can help ensure Trust engagement. </w:t>
            </w:r>
          </w:p>
        </w:tc>
      </w:tr>
      <w:tr w:rsidR="0088742D" w:rsidRPr="008142B5" w14:paraId="257F51D3" w14:textId="77777777" w:rsidTr="0088742D">
        <w:trPr>
          <w:cnfStyle w:val="000000100000" w:firstRow="0" w:lastRow="0" w:firstColumn="0" w:lastColumn="0" w:oddVBand="0" w:evenVBand="0" w:oddHBand="1" w:evenHBand="0" w:firstRowFirstColumn="0" w:firstRowLastColumn="0" w:lastRowFirstColumn="0" w:lastRowLastColumn="0"/>
          <w:trHeight w:val="997"/>
        </w:trPr>
        <w:tc>
          <w:tcPr>
            <w:cnfStyle w:val="001000000000" w:firstRow="0" w:lastRow="0" w:firstColumn="1" w:lastColumn="0" w:oddVBand="0" w:evenVBand="0" w:oddHBand="0" w:evenHBand="0" w:firstRowFirstColumn="0" w:firstRowLastColumn="0" w:lastRowFirstColumn="0" w:lastRowLastColumn="0"/>
            <w:tcW w:w="1668" w:type="dxa"/>
            <w:hideMark/>
          </w:tcPr>
          <w:p w14:paraId="23841E00" w14:textId="77777777" w:rsidR="0088742D" w:rsidRPr="00DA6F9F" w:rsidRDefault="0088742D" w:rsidP="0088742D">
            <w:pPr>
              <w:spacing w:after="0"/>
              <w:rPr>
                <w:rFonts w:eastAsia="Times New Roman" w:cstheme="minorHAnsi"/>
                <w:color w:val="212121"/>
                <w:szCs w:val="23"/>
              </w:rPr>
            </w:pPr>
            <w:r w:rsidRPr="00DA6F9F">
              <w:rPr>
                <w:rFonts w:eastAsia="Times New Roman" w:cstheme="minorHAnsi"/>
                <w:color w:val="212121"/>
                <w:szCs w:val="23"/>
              </w:rPr>
              <w:t>AHSN</w:t>
            </w:r>
          </w:p>
        </w:tc>
        <w:tc>
          <w:tcPr>
            <w:tcW w:w="5495" w:type="dxa"/>
            <w:hideMark/>
          </w:tcPr>
          <w:p w14:paraId="1E7FBCEB" w14:textId="77777777" w:rsidR="0088742D" w:rsidRPr="00DA6F9F" w:rsidRDefault="0088742D" w:rsidP="0088742D">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212121"/>
                <w:szCs w:val="23"/>
              </w:rPr>
            </w:pPr>
            <w:r>
              <w:rPr>
                <w:rFonts w:eastAsia="Times New Roman" w:cstheme="minorHAnsi"/>
                <w:color w:val="212121"/>
                <w:szCs w:val="23"/>
              </w:rPr>
              <w:t xml:space="preserve">UCLPartners can support with advice and guidance as well as accessing some resources used by Trusts across the national AHSN Network to deliver TCAM. </w:t>
            </w:r>
          </w:p>
        </w:tc>
      </w:tr>
    </w:tbl>
    <w:p w14:paraId="2072C5F3" w14:textId="77777777" w:rsidR="0088742D" w:rsidRDefault="0088742D" w:rsidP="0088742D">
      <w:pPr>
        <w:jc w:val="both"/>
      </w:pPr>
    </w:p>
    <w:p w14:paraId="6E20BAE4" w14:textId="77777777" w:rsidR="0088742D" w:rsidRDefault="0088742D" w:rsidP="0088742D">
      <w:pPr>
        <w:jc w:val="both"/>
      </w:pPr>
    </w:p>
    <w:p w14:paraId="78AE9ED5" w14:textId="77777777" w:rsidR="0088742D" w:rsidRDefault="0088742D" w:rsidP="0088742D">
      <w:pPr>
        <w:jc w:val="both"/>
      </w:pPr>
    </w:p>
    <w:p w14:paraId="5E1041B2" w14:textId="77777777" w:rsidR="0088742D" w:rsidRDefault="0088742D" w:rsidP="0088742D">
      <w:pPr>
        <w:jc w:val="both"/>
      </w:pPr>
    </w:p>
    <w:p w14:paraId="30B52E4B" w14:textId="77777777" w:rsidR="0088742D" w:rsidRDefault="0088742D" w:rsidP="0088742D">
      <w:pPr>
        <w:jc w:val="both"/>
      </w:pPr>
    </w:p>
    <w:p w14:paraId="31BDCAEA" w14:textId="77777777" w:rsidR="0088742D" w:rsidRDefault="0088742D" w:rsidP="0088742D">
      <w:pPr>
        <w:jc w:val="both"/>
      </w:pPr>
    </w:p>
    <w:p w14:paraId="591E3A6A" w14:textId="77777777" w:rsidR="0088742D" w:rsidRDefault="0088742D" w:rsidP="0088742D">
      <w:pPr>
        <w:jc w:val="both"/>
      </w:pPr>
    </w:p>
    <w:p w14:paraId="77B3D251" w14:textId="77777777" w:rsidR="0088742D" w:rsidRDefault="0088742D" w:rsidP="0088742D">
      <w:pPr>
        <w:jc w:val="both"/>
      </w:pPr>
    </w:p>
    <w:p w14:paraId="48985726" w14:textId="77777777" w:rsidR="0088742D" w:rsidRDefault="0088742D" w:rsidP="0088742D">
      <w:pPr>
        <w:jc w:val="both"/>
      </w:pPr>
    </w:p>
    <w:p w14:paraId="17543209" w14:textId="77777777" w:rsidR="0088742D" w:rsidRDefault="0088742D" w:rsidP="0088742D">
      <w:pPr>
        <w:jc w:val="both"/>
      </w:pPr>
    </w:p>
    <w:p w14:paraId="141045F5" w14:textId="77777777" w:rsidR="0088742D" w:rsidRDefault="0088742D" w:rsidP="0088742D">
      <w:pPr>
        <w:jc w:val="both"/>
      </w:pPr>
    </w:p>
    <w:p w14:paraId="4F5894CE" w14:textId="77777777" w:rsidR="0088742D" w:rsidRDefault="0088742D" w:rsidP="0088742D">
      <w:pPr>
        <w:jc w:val="both"/>
      </w:pPr>
    </w:p>
    <w:p w14:paraId="145183A5" w14:textId="77777777" w:rsidR="0088742D" w:rsidRDefault="0088742D" w:rsidP="0088742D">
      <w:pPr>
        <w:jc w:val="both"/>
      </w:pPr>
    </w:p>
    <w:p w14:paraId="16341E7F" w14:textId="77777777" w:rsidR="0088742D" w:rsidRDefault="0088742D" w:rsidP="0088742D">
      <w:pPr>
        <w:jc w:val="both"/>
      </w:pPr>
    </w:p>
    <w:p w14:paraId="6882A189" w14:textId="77777777" w:rsidR="0088742D" w:rsidRDefault="0088742D" w:rsidP="0088742D">
      <w:pPr>
        <w:jc w:val="both"/>
      </w:pPr>
    </w:p>
    <w:p w14:paraId="767BF5D5" w14:textId="77777777" w:rsidR="0088742D" w:rsidRDefault="0088742D" w:rsidP="0088742D">
      <w:pPr>
        <w:jc w:val="both"/>
      </w:pPr>
    </w:p>
    <w:p w14:paraId="0C92F042" w14:textId="77777777" w:rsidR="0088742D" w:rsidRDefault="0088742D" w:rsidP="0088742D">
      <w:pPr>
        <w:jc w:val="both"/>
      </w:pPr>
    </w:p>
    <w:p w14:paraId="7C17BB76" w14:textId="77777777" w:rsidR="0088742D" w:rsidRDefault="0088742D" w:rsidP="0088742D">
      <w:pPr>
        <w:jc w:val="both"/>
      </w:pPr>
    </w:p>
    <w:p w14:paraId="357F9381" w14:textId="77777777" w:rsidR="0088742D" w:rsidRDefault="0088742D" w:rsidP="0088742D">
      <w:pPr>
        <w:jc w:val="both"/>
      </w:pPr>
      <w:r w:rsidRPr="00D8645D">
        <w:rPr>
          <w:b/>
        </w:rPr>
        <w:t>Box 2.</w:t>
      </w:r>
      <w:r>
        <w:t xml:space="preserve"> Potential key stakeholders and some of their roles and responsibilities. </w:t>
      </w:r>
    </w:p>
    <w:p w14:paraId="7A4A9C98" w14:textId="77777777" w:rsidR="0088742D" w:rsidRDefault="0088742D" w:rsidP="0088742D">
      <w:pPr>
        <w:jc w:val="both"/>
      </w:pPr>
    </w:p>
    <w:p w14:paraId="1B66602B" w14:textId="77777777" w:rsidR="0088742D" w:rsidRPr="00D8645D" w:rsidRDefault="0088742D" w:rsidP="0088742D">
      <w:pPr>
        <w:pStyle w:val="Heading2"/>
        <w:keepNext/>
        <w:keepLines/>
        <w:numPr>
          <w:ilvl w:val="1"/>
          <w:numId w:val="17"/>
        </w:numPr>
        <w:spacing w:before="480" w:after="120" w:line="276" w:lineRule="auto"/>
      </w:pPr>
      <w:bookmarkStart w:id="8" w:name="_Toc38369979"/>
      <w:r>
        <w:lastRenderedPageBreak/>
        <w:t>Responsibilities of Clinical Handover project team</w:t>
      </w:r>
      <w:bookmarkEnd w:id="8"/>
    </w:p>
    <w:p w14:paraId="4184094B" w14:textId="77777777" w:rsidR="0088742D" w:rsidRDefault="0088742D" w:rsidP="0088742D">
      <w:r>
        <w:t>Successful implementation of a handover initiative requires a team approach. The collaborative working will facilitate change.</w:t>
      </w:r>
      <w:r w:rsidRPr="00F375B0">
        <w:rPr>
          <w:noProof/>
        </w:rPr>
        <w:t xml:space="preserve"> </w:t>
      </w:r>
      <w:r>
        <w:rPr>
          <w:noProof/>
        </w:rPr>
        <w:t>The dynamics of the team may differ according to local political context, drivers and challenges.</w:t>
      </w:r>
      <w:r>
        <w:rPr>
          <w:noProof/>
        </w:rPr>
        <mc:AlternateContent>
          <mc:Choice Requires="wps">
            <w:drawing>
              <wp:inline distT="0" distB="0" distL="0" distR="0" wp14:anchorId="504FEA4A" wp14:editId="24DBE9C0">
                <wp:extent cx="5731510" cy="3761633"/>
                <wp:effectExtent l="0" t="0" r="21590" b="10795"/>
                <wp:docPr id="15" name="Text Box 15"/>
                <wp:cNvGraphicFramePr/>
                <a:graphic xmlns:a="http://schemas.openxmlformats.org/drawingml/2006/main">
                  <a:graphicData uri="http://schemas.microsoft.com/office/word/2010/wordprocessingShape">
                    <wps:wsp>
                      <wps:cNvSpPr txBox="1"/>
                      <wps:spPr>
                        <a:xfrm>
                          <a:off x="0" y="0"/>
                          <a:ext cx="5731510" cy="3761633"/>
                        </a:xfrm>
                        <a:prstGeom prst="rect">
                          <a:avLst/>
                        </a:prstGeom>
                        <a:ln/>
                        <a:effectLst>
                          <a:softEdge rad="63500"/>
                        </a:effectLst>
                      </wps:spPr>
                      <wps:style>
                        <a:lnRef idx="1">
                          <a:schemeClr val="accent1"/>
                        </a:lnRef>
                        <a:fillRef idx="2">
                          <a:schemeClr val="accent1"/>
                        </a:fillRef>
                        <a:effectRef idx="1">
                          <a:schemeClr val="accent1"/>
                        </a:effectRef>
                        <a:fontRef idx="minor">
                          <a:schemeClr val="dk1"/>
                        </a:fontRef>
                      </wps:style>
                      <wps:txbx>
                        <w:txbxContent>
                          <w:p w14:paraId="0E87D3ED" w14:textId="77777777" w:rsidR="0088742D" w:rsidRDefault="0088742D" w:rsidP="0088742D">
                            <w:r>
                              <w:t>Newcastle-upon-Tyne NHS hospitals (NuTH) began working on Transfer of care as an early implementer of electronic discharge summaries in 2010. By 2012, the Director of Pharmacy had identified the need for a community pharmacy partner with which to innovate a transfer of care service.  Consequently, discussions began with the North of Tyne LPC to explore potential solutions. NuTH worked with North of Tyne LPC and the managers of PharmOutcomes®*, to develop the Transfer of Care service that comprises of an electronic referral of a patient’s medicines-related information from hospital to community pharmacy staff. This initiative was launched in July 2014, the first in the UK and was the first involving PharmOutcomes®. It was recognised that the NENC AHSN would be able to facilitate broader adoption; so an AHSN project team was established to monitor the early implementation and delivery of this service, and included representatives from NuTH and from surrounding Trusts, regional LPCs and LPNs, academia, and patient groups.  These members also adopted the role of a champion in their respective areas, enabling and pushing forward the roll out, overcoming barriers and supporting staff teams. The champions were agents of change and dedicated time with regular meetings and communications to deal with logistical and co-ordination issues.</w:t>
                            </w:r>
                          </w:p>
                          <w:p w14:paraId="0BD9EC4A" w14:textId="77777777" w:rsidR="0088742D" w:rsidRDefault="0088742D" w:rsidP="0088742D">
                            <w:r>
                              <w:t>*</w:t>
                            </w:r>
                            <w:r w:rsidRPr="00F375B0">
                              <w:t xml:space="preserve"> </w:t>
                            </w:r>
                            <w:r w:rsidRPr="00F375B0">
                              <w:rPr>
                                <w:sz w:val="18"/>
                              </w:rPr>
                              <w:t>PharmOutcomes</w:t>
                            </w:r>
                            <w:r>
                              <w:rPr>
                                <w:sz w:val="18"/>
                              </w:rPr>
                              <w:t>®</w:t>
                            </w:r>
                            <w:r w:rsidRPr="00F375B0">
                              <w:rPr>
                                <w:sz w:val="18"/>
                              </w:rPr>
                              <w:t xml:space="preserve"> is a secure web-based clinical service platform used by </w:t>
                            </w:r>
                            <w:proofErr w:type="gramStart"/>
                            <w:r w:rsidRPr="00F375B0">
                              <w:rPr>
                                <w:sz w:val="18"/>
                              </w:rPr>
                              <w:t>the majority of</w:t>
                            </w:r>
                            <w:proofErr w:type="gramEnd"/>
                            <w:r w:rsidRPr="00F375B0">
                              <w:rPr>
                                <w:sz w:val="18"/>
                              </w:rPr>
                              <w:t xml:space="preserve"> the community pharmacies across the country used to record and collate pharmaceutical service data within community pharmacies</w:t>
                            </w:r>
                          </w:p>
                          <w:p w14:paraId="424A8768" w14:textId="77777777" w:rsidR="0088742D" w:rsidRDefault="0088742D" w:rsidP="008874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04FEA4A" id="Text Box 15" o:spid="_x0000_s1028" type="#_x0000_t202" style="width:451.3pt;height:29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" fillcolor="#80cdee [2164]" strokecolor="#41b6e6 [3204]" strokeweight=".5pt">
                <v:fill color2="#65c3ea [2612]" rotate="t" colors="0 #a9d8f3;.5 #9ad1f0;1 #87ccf2" focus="100%" type="gradient">
                  <o:fill v:ext="view" type="gradientUnscaled"/>
                </v:fill>
                <v:textbox>
                  <w:txbxContent>
                    <w:p w14:paraId="0E87D3ED" w14:textId="77777777" w:rsidR="0088742D" w:rsidRDefault="0088742D" w:rsidP="0088742D">
                      <w:r>
                        <w:t>Newcastle-upon-Tyne NHS hospitals (NuTH) began working on Transfer of care as an early implementer of electronic discharge summaries in 2010. By 2012, the Director of Pharmacy had identified the need for a community pharmacy partner with which to innovate a transfer of care service.  Consequently, discussions began with the North of Tyne LPC to explore potential solutions. NuTH worked with North of Tyne LPC and the managers of PharmOutcomes®*, to develop the Transfer of Care service that comprises of an electronic referral of a patient’s medicines-related information from hospital to community pharmacy staff. This initiative was launched in July 2014, the first in the UK and was the first involving PharmOutcomes®. It was recognised that the NENC AHSN would be able to facilitate broader adoption; so an AHSN project team was established to monitor the early implementation and delivery of this service, and included representatives from NuTH and from surrounding Trusts, regional LPCs and LPNs, academia, and patient groups.  These members also adopted the role of a champion in their respective areas, enabling and pushing forward the roll out, overcoming barriers and supporting staff teams. The champions were agents of change and dedicated time with regular meetings and communications to deal with logistical and co-ordination issues.</w:t>
                      </w:r>
                    </w:p>
                    <w:p w14:paraId="0BD9EC4A" w14:textId="77777777" w:rsidR="0088742D" w:rsidRDefault="0088742D" w:rsidP="0088742D">
                      <w:r>
                        <w:t>*</w:t>
                      </w:r>
                      <w:r w:rsidRPr="00F375B0">
                        <w:t xml:space="preserve"> </w:t>
                      </w:r>
                      <w:r w:rsidRPr="00F375B0">
                        <w:rPr>
                          <w:sz w:val="18"/>
                        </w:rPr>
                        <w:t>PharmOutcomes</w:t>
                      </w:r>
                      <w:r>
                        <w:rPr>
                          <w:sz w:val="18"/>
                        </w:rPr>
                        <w:t>®</w:t>
                      </w:r>
                      <w:r w:rsidRPr="00F375B0">
                        <w:rPr>
                          <w:sz w:val="18"/>
                        </w:rPr>
                        <w:t xml:space="preserve"> is a secure web-based clinical service platform used by </w:t>
                      </w:r>
                      <w:proofErr w:type="gramStart"/>
                      <w:r w:rsidRPr="00F375B0">
                        <w:rPr>
                          <w:sz w:val="18"/>
                        </w:rPr>
                        <w:t>the majority of</w:t>
                      </w:r>
                      <w:proofErr w:type="gramEnd"/>
                      <w:r w:rsidRPr="00F375B0">
                        <w:rPr>
                          <w:sz w:val="18"/>
                        </w:rPr>
                        <w:t xml:space="preserve"> the community pharmacies across the country used to record and collate pharmaceutical service data within community pharmacies</w:t>
                      </w:r>
                    </w:p>
                    <w:p w14:paraId="424A8768" w14:textId="77777777" w:rsidR="0088742D" w:rsidRDefault="0088742D" w:rsidP="0088742D"/>
                  </w:txbxContent>
                </v:textbox>
                <w10:anchorlock/>
              </v:shape>
            </w:pict>
          </mc:Fallback>
        </mc:AlternateContent>
      </w:r>
    </w:p>
    <w:p w14:paraId="01655A84" w14:textId="77777777" w:rsidR="0088742D" w:rsidRDefault="0088742D" w:rsidP="0088742D">
      <w:r>
        <w:rPr>
          <w:b/>
        </w:rPr>
        <w:t>Box 3</w:t>
      </w:r>
      <w:r w:rsidRPr="007D5F52">
        <w:rPr>
          <w:b/>
        </w:rPr>
        <w:t>.</w:t>
      </w:r>
      <w:r>
        <w:t xml:space="preserve"> The project team at Newcastle-upon-Tyne Hospitals clinical handover service.</w:t>
      </w:r>
    </w:p>
    <w:p w14:paraId="284E2C62" w14:textId="77777777" w:rsidR="0088742D" w:rsidRDefault="0088742D" w:rsidP="0088742D">
      <w:pPr>
        <w:jc w:val="both"/>
      </w:pPr>
      <w:r>
        <w:t>The responsibilities of the project team could include:</w:t>
      </w:r>
    </w:p>
    <w:p w14:paraId="5A096871" w14:textId="77777777" w:rsidR="0088742D" w:rsidRDefault="0088742D" w:rsidP="0088742D">
      <w:pPr>
        <w:pStyle w:val="ListParagraph"/>
        <w:numPr>
          <w:ilvl w:val="0"/>
          <w:numId w:val="24"/>
        </w:numPr>
        <w:spacing w:before="120" w:after="120" w:line="276" w:lineRule="auto"/>
        <w:jc w:val="both"/>
      </w:pPr>
      <w:r>
        <w:t>Identifying, consulting and engaging with key stakeholders</w:t>
      </w:r>
    </w:p>
    <w:p w14:paraId="35F8AF46" w14:textId="77777777" w:rsidR="0088742D" w:rsidRDefault="0088742D" w:rsidP="0088742D">
      <w:pPr>
        <w:pStyle w:val="ListParagraph"/>
        <w:numPr>
          <w:ilvl w:val="0"/>
          <w:numId w:val="24"/>
        </w:numPr>
        <w:spacing w:before="120" w:after="120" w:line="276" w:lineRule="auto"/>
        <w:jc w:val="both"/>
      </w:pPr>
      <w:r>
        <w:t>Assessing barriers and enablers for implementation and adoption</w:t>
      </w:r>
    </w:p>
    <w:p w14:paraId="2068E819" w14:textId="77777777" w:rsidR="0088742D" w:rsidRDefault="0088742D" w:rsidP="0088742D">
      <w:pPr>
        <w:pStyle w:val="ListParagraph"/>
        <w:numPr>
          <w:ilvl w:val="0"/>
          <w:numId w:val="24"/>
        </w:numPr>
        <w:spacing w:before="120" w:after="120" w:line="276" w:lineRule="auto"/>
        <w:jc w:val="both"/>
      </w:pPr>
      <w:r>
        <w:t>Assessing current practice to identify priority areas and strategies for implementation</w:t>
      </w:r>
    </w:p>
    <w:p w14:paraId="739CCE7C" w14:textId="77777777" w:rsidR="0088742D" w:rsidRDefault="0088742D" w:rsidP="0088742D">
      <w:pPr>
        <w:pStyle w:val="ListParagraph"/>
        <w:numPr>
          <w:ilvl w:val="0"/>
          <w:numId w:val="24"/>
        </w:numPr>
        <w:spacing w:before="120" w:after="120" w:line="276" w:lineRule="auto"/>
        <w:jc w:val="both"/>
      </w:pPr>
      <w:r>
        <w:t>Working and engaging with executive leadership groups to facilitate implementation</w:t>
      </w:r>
    </w:p>
    <w:p w14:paraId="61AA6F38" w14:textId="77777777" w:rsidR="0088742D" w:rsidRDefault="0088742D" w:rsidP="0088742D">
      <w:pPr>
        <w:pStyle w:val="ListParagraph"/>
        <w:numPr>
          <w:ilvl w:val="0"/>
          <w:numId w:val="24"/>
        </w:numPr>
        <w:spacing w:before="120" w:after="120" w:line="276" w:lineRule="auto"/>
        <w:jc w:val="both"/>
      </w:pPr>
      <w:r>
        <w:t>Providing guidance, direction and support to the staff and teams at the point of care</w:t>
      </w:r>
    </w:p>
    <w:p w14:paraId="6279A111" w14:textId="77777777" w:rsidR="0088742D" w:rsidRDefault="0088742D" w:rsidP="0088742D">
      <w:pPr>
        <w:pStyle w:val="ListParagraph"/>
        <w:numPr>
          <w:ilvl w:val="0"/>
          <w:numId w:val="24"/>
        </w:numPr>
        <w:spacing w:before="120" w:after="120" w:line="276" w:lineRule="auto"/>
        <w:jc w:val="both"/>
      </w:pPr>
      <w:r>
        <w:t>Negotiating appropriate allocation of resources (time, staff, development and finance)</w:t>
      </w:r>
    </w:p>
    <w:p w14:paraId="6F24EE54" w14:textId="77777777" w:rsidR="0088742D" w:rsidRDefault="0088742D" w:rsidP="0088742D">
      <w:pPr>
        <w:pStyle w:val="ListParagraph"/>
        <w:numPr>
          <w:ilvl w:val="0"/>
          <w:numId w:val="24"/>
        </w:numPr>
        <w:spacing w:before="120" w:after="120" w:line="276" w:lineRule="auto"/>
        <w:jc w:val="both"/>
      </w:pPr>
      <w:r>
        <w:t>Implementation – including piloting and spread</w:t>
      </w:r>
    </w:p>
    <w:p w14:paraId="76D7EE98" w14:textId="77777777" w:rsidR="0088742D" w:rsidRDefault="0088742D" w:rsidP="0088742D">
      <w:pPr>
        <w:pStyle w:val="ListParagraph"/>
        <w:numPr>
          <w:ilvl w:val="0"/>
          <w:numId w:val="24"/>
        </w:numPr>
        <w:spacing w:before="120" w:after="120" w:line="276" w:lineRule="auto"/>
        <w:jc w:val="both"/>
      </w:pPr>
      <w:r>
        <w:t>Evaluating process and outcome measures on an ongoing basis</w:t>
      </w:r>
    </w:p>
    <w:p w14:paraId="54E93494" w14:textId="77777777" w:rsidR="0088742D" w:rsidRDefault="0088742D" w:rsidP="0088742D">
      <w:pPr>
        <w:pStyle w:val="ListParagraph"/>
        <w:numPr>
          <w:ilvl w:val="0"/>
          <w:numId w:val="24"/>
        </w:numPr>
        <w:spacing w:before="120" w:after="120" w:line="276" w:lineRule="auto"/>
      </w:pPr>
      <w:r>
        <w:t>Report issues in implementation to executive leaders</w:t>
      </w:r>
    </w:p>
    <w:p w14:paraId="1192F93F" w14:textId="77777777" w:rsidR="0088742D" w:rsidRDefault="0088742D" w:rsidP="0088742D">
      <w:pPr>
        <w:pStyle w:val="ListParagraph"/>
        <w:numPr>
          <w:ilvl w:val="0"/>
          <w:numId w:val="24"/>
        </w:numPr>
        <w:spacing w:before="120" w:after="120" w:line="276" w:lineRule="auto"/>
      </w:pPr>
      <w:r>
        <w:t>Working with executive leaders to sustain and spread improvements</w:t>
      </w:r>
    </w:p>
    <w:p w14:paraId="4E709371" w14:textId="77777777" w:rsidR="0088742D" w:rsidRDefault="0088742D" w:rsidP="0088742D">
      <w:pPr>
        <w:pStyle w:val="Heading2"/>
        <w:keepNext/>
        <w:keepLines/>
        <w:numPr>
          <w:ilvl w:val="1"/>
          <w:numId w:val="17"/>
        </w:numPr>
        <w:spacing w:before="480" w:after="120" w:line="276" w:lineRule="auto"/>
      </w:pPr>
      <w:bookmarkStart w:id="9" w:name="_Toc38369980"/>
      <w:r>
        <w:lastRenderedPageBreak/>
        <w:t>Determine governance arrangements and develop a project plan</w:t>
      </w:r>
      <w:bookmarkEnd w:id="9"/>
    </w:p>
    <w:p w14:paraId="4FD540AC" w14:textId="77777777" w:rsidR="0088742D" w:rsidRDefault="0088742D" w:rsidP="0088742D">
      <w:pPr>
        <w:jc w:val="both"/>
      </w:pPr>
      <w:r>
        <w:t>The established project team will need to determine and agree the governance arrangements, which include the reporting and accountability framework for the project and defining team member’s roles and lines of communication.</w:t>
      </w:r>
    </w:p>
    <w:p w14:paraId="431EF288" w14:textId="77777777" w:rsidR="0088742D" w:rsidRDefault="0088742D" w:rsidP="0088742D">
      <w:r>
        <w:t>An over-arching project plan will guide the project team and should include:</w:t>
      </w:r>
    </w:p>
    <w:p w14:paraId="154B2267" w14:textId="77777777" w:rsidR="0088742D" w:rsidRDefault="0088742D" w:rsidP="0088742D">
      <w:pPr>
        <w:pStyle w:val="ListParagraph"/>
        <w:numPr>
          <w:ilvl w:val="0"/>
          <w:numId w:val="26"/>
        </w:numPr>
        <w:spacing w:before="120" w:after="120" w:line="276" w:lineRule="auto"/>
      </w:pPr>
      <w:r>
        <w:t>Specific changes or outcomes from the project</w:t>
      </w:r>
    </w:p>
    <w:p w14:paraId="7E737878" w14:textId="77777777" w:rsidR="0088742D" w:rsidRDefault="0088742D" w:rsidP="0088742D">
      <w:pPr>
        <w:pStyle w:val="ListParagraph"/>
        <w:numPr>
          <w:ilvl w:val="0"/>
          <w:numId w:val="26"/>
        </w:numPr>
        <w:spacing w:before="120" w:after="120" w:line="276" w:lineRule="auto"/>
      </w:pPr>
      <w:r>
        <w:t>Identified groups of people who will need to adopt new practice</w:t>
      </w:r>
    </w:p>
    <w:p w14:paraId="2EE1967F" w14:textId="77777777" w:rsidR="0088742D" w:rsidRDefault="0088742D" w:rsidP="0088742D">
      <w:pPr>
        <w:pStyle w:val="ListParagraph"/>
        <w:numPr>
          <w:ilvl w:val="0"/>
          <w:numId w:val="26"/>
        </w:numPr>
        <w:spacing w:before="120" w:after="120" w:line="276" w:lineRule="auto"/>
      </w:pPr>
      <w:r>
        <w:t>Specific groups of patients who will be targeted for the handover initiative (or not)</w:t>
      </w:r>
    </w:p>
    <w:p w14:paraId="1F574634" w14:textId="77777777" w:rsidR="0088742D" w:rsidRDefault="0088742D" w:rsidP="0088742D">
      <w:pPr>
        <w:pStyle w:val="ListParagraph"/>
        <w:numPr>
          <w:ilvl w:val="0"/>
          <w:numId w:val="26"/>
        </w:numPr>
        <w:spacing w:before="120" w:after="120" w:line="276" w:lineRule="auto"/>
      </w:pPr>
      <w:r>
        <w:t>Specified process that needs to be adopted</w:t>
      </w:r>
    </w:p>
    <w:p w14:paraId="722CF7FA" w14:textId="77777777" w:rsidR="0088742D" w:rsidRDefault="0088742D" w:rsidP="0088742D">
      <w:pPr>
        <w:pStyle w:val="ListParagraph"/>
        <w:numPr>
          <w:ilvl w:val="0"/>
          <w:numId w:val="26"/>
        </w:numPr>
        <w:spacing w:before="120" w:after="120" w:line="276" w:lineRule="auto"/>
      </w:pPr>
      <w:r>
        <w:t>Identified measures that will be used to monitor progress</w:t>
      </w:r>
    </w:p>
    <w:p w14:paraId="42322FC6" w14:textId="77777777" w:rsidR="0088742D" w:rsidRDefault="0088742D" w:rsidP="0088742D">
      <w:pPr>
        <w:pStyle w:val="ListParagraph"/>
        <w:numPr>
          <w:ilvl w:val="0"/>
          <w:numId w:val="26"/>
        </w:numPr>
        <w:spacing w:before="120" w:after="120" w:line="276" w:lineRule="auto"/>
      </w:pPr>
      <w:r>
        <w:t>An initial target that is likely to be achievable within the resources available</w:t>
      </w:r>
    </w:p>
    <w:p w14:paraId="1A5FA5CF" w14:textId="77777777" w:rsidR="0088742D" w:rsidRDefault="0088742D" w:rsidP="0088742D">
      <w:pPr>
        <w:pStyle w:val="ListParagraph"/>
        <w:numPr>
          <w:ilvl w:val="0"/>
          <w:numId w:val="26"/>
        </w:numPr>
        <w:spacing w:before="120" w:after="120" w:line="276" w:lineRule="auto"/>
      </w:pPr>
      <w:r>
        <w:t>Develop a project timeline for goal achievement</w:t>
      </w:r>
    </w:p>
    <w:p w14:paraId="6268B8BC" w14:textId="77777777" w:rsidR="0088742D" w:rsidRDefault="0088742D" w:rsidP="0088742D"/>
    <w:p w14:paraId="6683E986" w14:textId="77777777" w:rsidR="0088742D" w:rsidRPr="00D8645D" w:rsidRDefault="0088742D" w:rsidP="0088742D">
      <w:pPr>
        <w:rPr>
          <w:sz w:val="24"/>
        </w:rPr>
        <w:sectPr w:rsidR="0088742D" w:rsidRPr="00D8645D" w:rsidSect="0088742D">
          <w:endnotePr>
            <w:numFmt w:val="decimal"/>
          </w:endnotePr>
          <w:pgSz w:w="11906" w:h="16838"/>
          <w:pgMar w:top="1440" w:right="1440" w:bottom="1440" w:left="1440" w:header="708" w:footer="708" w:gutter="0"/>
          <w:cols w:space="708"/>
          <w:docGrid w:linePitch="360"/>
        </w:sectPr>
      </w:pPr>
      <w:r w:rsidRPr="00D8645D">
        <w:rPr>
          <w:szCs w:val="20"/>
        </w:rPr>
        <w:t>A</w:t>
      </w:r>
      <w:r>
        <w:rPr>
          <w:szCs w:val="20"/>
        </w:rPr>
        <w:t xml:space="preserve"> </w:t>
      </w:r>
      <w:r w:rsidRPr="00D8645D">
        <w:rPr>
          <w:szCs w:val="20"/>
        </w:rPr>
        <w:t>project plan for the implementation process could include the steps outlined in Box 4. The management, organisation and delivery of these falls to the various stakeholders represented within and out with the project group</w:t>
      </w:r>
      <w:r>
        <w:rPr>
          <w:szCs w:val="20"/>
        </w:rPr>
        <w:t xml:space="preserve"> suggested in section </w:t>
      </w:r>
      <w:r w:rsidRPr="00D8645D">
        <w:rPr>
          <w:b/>
          <w:szCs w:val="20"/>
        </w:rPr>
        <w:t>2.2</w:t>
      </w:r>
      <w:r w:rsidRPr="00D8645D">
        <w:rPr>
          <w:szCs w:val="20"/>
        </w:rPr>
        <w:t>.</w:t>
      </w:r>
    </w:p>
    <w:p w14:paraId="6DA2A2BA" w14:textId="77777777" w:rsidR="0088742D" w:rsidRDefault="0088742D" w:rsidP="0088742D">
      <w:pPr>
        <w:pStyle w:val="ListParagraph"/>
        <w:ind w:left="0"/>
      </w:pPr>
      <w:r>
        <w:rPr>
          <w:noProof/>
        </w:rPr>
        <w:lastRenderedPageBreak/>
        <mc:AlternateContent>
          <mc:Choice Requires="wps">
            <w:drawing>
              <wp:anchor distT="0" distB="0" distL="114300" distR="114300" simplePos="0" relativeHeight="251665408" behindDoc="1" locked="0" layoutInCell="1" allowOverlap="1" wp14:anchorId="23A33C59" wp14:editId="484EF4C1">
                <wp:simplePos x="0" y="0"/>
                <wp:positionH relativeFrom="column">
                  <wp:posOffset>0</wp:posOffset>
                </wp:positionH>
                <wp:positionV relativeFrom="paragraph">
                  <wp:posOffset>0</wp:posOffset>
                </wp:positionV>
                <wp:extent cx="9463088" cy="6343650"/>
                <wp:effectExtent l="0" t="0" r="21590" b="19050"/>
                <wp:wrapNone/>
                <wp:docPr id="16" name="Text Box 16"/>
                <wp:cNvGraphicFramePr/>
                <a:graphic xmlns:a="http://schemas.openxmlformats.org/drawingml/2006/main">
                  <a:graphicData uri="http://schemas.microsoft.com/office/word/2010/wordprocessingShape">
                    <wps:wsp>
                      <wps:cNvSpPr txBox="1"/>
                      <wps:spPr>
                        <a:xfrm>
                          <a:off x="0" y="0"/>
                          <a:ext cx="9463088" cy="6343650"/>
                        </a:xfrm>
                        <a:prstGeom prst="rect">
                          <a:avLst/>
                        </a:prstGeom>
                        <a:ln/>
                        <a:effectLst>
                          <a:softEdge rad="63500"/>
                        </a:effectLst>
                      </wps:spPr>
                      <wps:style>
                        <a:lnRef idx="1">
                          <a:schemeClr val="accent1"/>
                        </a:lnRef>
                        <a:fillRef idx="2">
                          <a:schemeClr val="accent1"/>
                        </a:fillRef>
                        <a:effectRef idx="1">
                          <a:schemeClr val="accent1"/>
                        </a:effectRef>
                        <a:fontRef idx="minor">
                          <a:schemeClr val="dk1"/>
                        </a:fontRef>
                      </wps:style>
                      <wps:txbx>
                        <w:txbxContent>
                          <w:tbl>
                            <w:tblPr>
                              <w:tblStyle w:val="GridTable2-Accent51"/>
                              <w:tblW w:w="13716" w:type="dxa"/>
                              <w:tblLayout w:type="fixed"/>
                              <w:tblLook w:val="04A0" w:firstRow="1" w:lastRow="0" w:firstColumn="1" w:lastColumn="0" w:noHBand="0" w:noVBand="1"/>
                            </w:tblPr>
                            <w:tblGrid>
                              <w:gridCol w:w="3936"/>
                              <w:gridCol w:w="9780"/>
                            </w:tblGrid>
                            <w:tr w:rsidR="0088742D" w:rsidRPr="00195E3C" w14:paraId="169A1E3D" w14:textId="77777777" w:rsidTr="008874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40398749" w14:textId="77777777" w:rsidR="0088742D" w:rsidRPr="0090386E" w:rsidRDefault="0088742D" w:rsidP="0088742D">
                                  <w:pPr>
                                    <w:pStyle w:val="ListParagraph"/>
                                    <w:ind w:left="0"/>
                                    <w:rPr>
                                      <w:b w:val="0"/>
                                      <w:bCs w:val="0"/>
                                      <w:sz w:val="18"/>
                                      <w:szCs w:val="20"/>
                                    </w:rPr>
                                  </w:pPr>
                                  <w:r w:rsidRPr="00195E3C">
                                    <w:rPr>
                                      <w:sz w:val="18"/>
                                      <w:szCs w:val="20"/>
                                    </w:rPr>
                                    <w:t xml:space="preserve">Project </w:t>
                                  </w:r>
                                  <w:r>
                                    <w:rPr>
                                      <w:sz w:val="18"/>
                                      <w:szCs w:val="20"/>
                                    </w:rPr>
                                    <w:t>step</w:t>
                                  </w:r>
                                </w:p>
                              </w:tc>
                              <w:tc>
                                <w:tcPr>
                                  <w:tcW w:w="9780" w:type="dxa"/>
                                </w:tcPr>
                                <w:p w14:paraId="7A07C193" w14:textId="77777777" w:rsidR="0088742D" w:rsidRPr="00195E3C" w:rsidRDefault="0088742D" w:rsidP="0088742D">
                                  <w:pPr>
                                    <w:pStyle w:val="ListParagraph"/>
                                    <w:ind w:left="0"/>
                                    <w:cnfStyle w:val="100000000000" w:firstRow="1" w:lastRow="0" w:firstColumn="0" w:lastColumn="0" w:oddVBand="0" w:evenVBand="0" w:oddHBand="0" w:evenHBand="0" w:firstRowFirstColumn="0" w:firstRowLastColumn="0" w:lastRowFirstColumn="0" w:lastRowLastColumn="0"/>
                                    <w:rPr>
                                      <w:sz w:val="18"/>
                                      <w:szCs w:val="20"/>
                                    </w:rPr>
                                  </w:pPr>
                                  <w:r>
                                    <w:rPr>
                                      <w:sz w:val="18"/>
                                      <w:szCs w:val="20"/>
                                    </w:rPr>
                                    <w:t>Comments</w:t>
                                  </w:r>
                                </w:p>
                              </w:tc>
                            </w:tr>
                            <w:tr w:rsidR="0088742D" w:rsidRPr="00195E3C" w14:paraId="705618F7" w14:textId="77777777" w:rsidTr="008874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3186CB20" w14:textId="77777777" w:rsidR="0088742D" w:rsidRPr="00195E3C" w:rsidRDefault="0088742D" w:rsidP="0088742D">
                                  <w:pPr>
                                    <w:pStyle w:val="ListParagraph"/>
                                    <w:ind w:left="0"/>
                                    <w:rPr>
                                      <w:sz w:val="18"/>
                                      <w:szCs w:val="20"/>
                                    </w:rPr>
                                  </w:pPr>
                                  <w:r w:rsidRPr="00195E3C">
                                    <w:rPr>
                                      <w:sz w:val="18"/>
                                      <w:szCs w:val="20"/>
                                    </w:rPr>
                                    <w:t>Determine and confirm the method of implementing</w:t>
                                  </w:r>
                                </w:p>
                              </w:tc>
                              <w:tc>
                                <w:tcPr>
                                  <w:tcW w:w="9780" w:type="dxa"/>
                                </w:tcPr>
                                <w:p w14:paraId="1B2B509C" w14:textId="77777777" w:rsidR="0088742D" w:rsidRPr="00195E3C" w:rsidRDefault="0088742D" w:rsidP="0088742D">
                                  <w:pPr>
                                    <w:pStyle w:val="ListParagraph"/>
                                    <w:ind w:left="0"/>
                                    <w:cnfStyle w:val="000000100000" w:firstRow="0" w:lastRow="0" w:firstColumn="0" w:lastColumn="0" w:oddVBand="0" w:evenVBand="0" w:oddHBand="1" w:evenHBand="0" w:firstRowFirstColumn="0" w:firstRowLastColumn="0" w:lastRowFirstColumn="0" w:lastRowLastColumn="0"/>
                                    <w:rPr>
                                      <w:sz w:val="18"/>
                                      <w:szCs w:val="20"/>
                                    </w:rPr>
                                  </w:pPr>
                                  <w:r w:rsidRPr="00195E3C">
                                    <w:rPr>
                                      <w:sz w:val="18"/>
                                      <w:szCs w:val="20"/>
                                    </w:rPr>
                                    <w:t>There are three methods of implementing information transfer to facilitate the clinical handover:</w:t>
                                  </w:r>
                                </w:p>
                                <w:p w14:paraId="67C03D2C" w14:textId="77777777" w:rsidR="0088742D" w:rsidRPr="00195E3C" w:rsidRDefault="0088742D" w:rsidP="0088742D">
                                  <w:pPr>
                                    <w:pStyle w:val="ListParagraph"/>
                                    <w:numPr>
                                      <w:ilvl w:val="0"/>
                                      <w:numId w:val="44"/>
                                    </w:numPr>
                                    <w:spacing w:before="120" w:after="120" w:line="276" w:lineRule="auto"/>
                                    <w:cnfStyle w:val="000000100000" w:firstRow="0" w:lastRow="0" w:firstColumn="0" w:lastColumn="0" w:oddVBand="0" w:evenVBand="0" w:oddHBand="1" w:evenHBand="0" w:firstRowFirstColumn="0" w:firstRowLastColumn="0" w:lastRowFirstColumn="0" w:lastRowLastColumn="0"/>
                                    <w:rPr>
                                      <w:sz w:val="18"/>
                                      <w:szCs w:val="20"/>
                                    </w:rPr>
                                  </w:pPr>
                                  <w:r w:rsidRPr="00195E3C">
                                    <w:rPr>
                                      <w:sz w:val="18"/>
                                      <w:szCs w:val="20"/>
                                    </w:rPr>
                                    <w:t>Full electronic integration</w:t>
                                  </w:r>
                                </w:p>
                                <w:p w14:paraId="54F7AC48" w14:textId="77777777" w:rsidR="0088742D" w:rsidRPr="00195E3C" w:rsidRDefault="0088742D" w:rsidP="0088742D">
                                  <w:pPr>
                                    <w:pStyle w:val="ListParagraph"/>
                                    <w:numPr>
                                      <w:ilvl w:val="0"/>
                                      <w:numId w:val="44"/>
                                    </w:numPr>
                                    <w:spacing w:before="120" w:after="120" w:line="276" w:lineRule="auto"/>
                                    <w:cnfStyle w:val="000000100000" w:firstRow="0" w:lastRow="0" w:firstColumn="0" w:lastColumn="0" w:oddVBand="0" w:evenVBand="0" w:oddHBand="1" w:evenHBand="0" w:firstRowFirstColumn="0" w:firstRowLastColumn="0" w:lastRowFirstColumn="0" w:lastRowLastColumn="0"/>
                                    <w:rPr>
                                      <w:sz w:val="18"/>
                                      <w:szCs w:val="20"/>
                                    </w:rPr>
                                  </w:pPr>
                                  <w:r w:rsidRPr="00195E3C">
                                    <w:rPr>
                                      <w:sz w:val="18"/>
                                      <w:szCs w:val="20"/>
                                    </w:rPr>
                                    <w:t>Partial electronic integration</w:t>
                                  </w:r>
                                </w:p>
                                <w:p w14:paraId="3C992431" w14:textId="77777777" w:rsidR="0088742D" w:rsidRDefault="0088742D" w:rsidP="0088742D">
                                  <w:pPr>
                                    <w:pStyle w:val="ListParagraph"/>
                                    <w:numPr>
                                      <w:ilvl w:val="0"/>
                                      <w:numId w:val="44"/>
                                    </w:numPr>
                                    <w:spacing w:before="120" w:after="120" w:line="276" w:lineRule="auto"/>
                                    <w:cnfStyle w:val="000000100000" w:firstRow="0" w:lastRow="0" w:firstColumn="0" w:lastColumn="0" w:oddVBand="0" w:evenVBand="0" w:oddHBand="1" w:evenHBand="0" w:firstRowFirstColumn="0" w:firstRowLastColumn="0" w:lastRowFirstColumn="0" w:lastRowLastColumn="0"/>
                                    <w:rPr>
                                      <w:sz w:val="18"/>
                                      <w:szCs w:val="20"/>
                                    </w:rPr>
                                  </w:pPr>
                                  <w:r w:rsidRPr="00195E3C">
                                    <w:rPr>
                                      <w:sz w:val="18"/>
                                      <w:szCs w:val="20"/>
                                    </w:rPr>
                                    <w:t>Manual data entry via web portal</w:t>
                                  </w:r>
                                  <w:r>
                                    <w:rPr>
                                      <w:sz w:val="18"/>
                                      <w:szCs w:val="20"/>
                                    </w:rPr>
                                    <w:t>. Early implementer experience evidences this option as least preferred due to the additional data entry requirement and poor stream-lining of process.</w:t>
                                  </w:r>
                                </w:p>
                                <w:p w14:paraId="5A0E4411" w14:textId="77777777" w:rsidR="0088742D" w:rsidRPr="00195E3C" w:rsidRDefault="0088742D" w:rsidP="0088742D">
                                  <w:pPr>
                                    <w:pStyle w:val="ListParagraph"/>
                                    <w:ind w:left="0"/>
                                    <w:cnfStyle w:val="000000100000" w:firstRow="0" w:lastRow="0" w:firstColumn="0" w:lastColumn="0" w:oddVBand="0" w:evenVBand="0" w:oddHBand="1" w:evenHBand="0" w:firstRowFirstColumn="0" w:firstRowLastColumn="0" w:lastRowFirstColumn="0" w:lastRowLastColumn="0"/>
                                    <w:rPr>
                                      <w:sz w:val="18"/>
                                      <w:szCs w:val="20"/>
                                    </w:rPr>
                                  </w:pPr>
                                  <w:r>
                                    <w:rPr>
                                      <w:sz w:val="18"/>
                                      <w:szCs w:val="20"/>
                                    </w:rPr>
                                    <w:t>In each case, e</w:t>
                                  </w:r>
                                  <w:r w:rsidRPr="00195E3C">
                                    <w:rPr>
                                      <w:sz w:val="18"/>
                                      <w:szCs w:val="20"/>
                                    </w:rPr>
                                    <w:t>arly engagement of Trust IT vital</w:t>
                                  </w:r>
                                  <w:r>
                                    <w:rPr>
                                      <w:sz w:val="18"/>
                                      <w:szCs w:val="20"/>
                                    </w:rPr>
                                    <w:t xml:space="preserve"> to inform and plan implementation.</w:t>
                                  </w:r>
                                </w:p>
                              </w:tc>
                            </w:tr>
                            <w:tr w:rsidR="0088742D" w:rsidRPr="00195E3C" w14:paraId="3F4E7AD7" w14:textId="77777777" w:rsidTr="0088742D">
                              <w:tc>
                                <w:tcPr>
                                  <w:cnfStyle w:val="001000000000" w:firstRow="0" w:lastRow="0" w:firstColumn="1" w:lastColumn="0" w:oddVBand="0" w:evenVBand="0" w:oddHBand="0" w:evenHBand="0" w:firstRowFirstColumn="0" w:firstRowLastColumn="0" w:lastRowFirstColumn="0" w:lastRowLastColumn="0"/>
                                  <w:tcW w:w="3936" w:type="dxa"/>
                                </w:tcPr>
                                <w:p w14:paraId="32089EF0" w14:textId="77777777" w:rsidR="0088742D" w:rsidRPr="00195E3C" w:rsidRDefault="0088742D" w:rsidP="0088742D">
                                  <w:pPr>
                                    <w:pStyle w:val="ListParagraph"/>
                                    <w:ind w:left="0"/>
                                    <w:rPr>
                                      <w:sz w:val="18"/>
                                      <w:szCs w:val="20"/>
                                    </w:rPr>
                                  </w:pPr>
                                  <w:r w:rsidRPr="00195E3C">
                                    <w:rPr>
                                      <w:sz w:val="18"/>
                                      <w:szCs w:val="20"/>
                                    </w:rPr>
                                    <w:t>Determine the patient groups to be included</w:t>
                                  </w:r>
                                </w:p>
                              </w:tc>
                              <w:tc>
                                <w:tcPr>
                                  <w:tcW w:w="9780" w:type="dxa"/>
                                </w:tcPr>
                                <w:p w14:paraId="0FC6238C" w14:textId="77777777" w:rsidR="0088742D" w:rsidRPr="00195E3C" w:rsidRDefault="0088742D" w:rsidP="0088742D">
                                  <w:pPr>
                                    <w:pStyle w:val="ListParagraph"/>
                                    <w:ind w:left="0"/>
                                    <w:cnfStyle w:val="000000000000" w:firstRow="0" w:lastRow="0" w:firstColumn="0" w:lastColumn="0" w:oddVBand="0" w:evenVBand="0" w:oddHBand="0" w:evenHBand="0" w:firstRowFirstColumn="0" w:firstRowLastColumn="0" w:lastRowFirstColumn="0" w:lastRowLastColumn="0"/>
                                    <w:rPr>
                                      <w:sz w:val="18"/>
                                      <w:szCs w:val="20"/>
                                    </w:rPr>
                                  </w:pPr>
                                  <w:r w:rsidRPr="00195E3C">
                                    <w:rPr>
                                      <w:sz w:val="18"/>
                                      <w:szCs w:val="20"/>
                                    </w:rPr>
                                    <w:t xml:space="preserve">Currently Trusts are adopting a varied approach. For example, some are employing the PREVENT </w:t>
                                  </w:r>
                                  <w:proofErr w:type="gramStart"/>
                                  <w:r w:rsidRPr="00195E3C">
                                    <w:rPr>
                                      <w:sz w:val="18"/>
                                      <w:szCs w:val="20"/>
                                    </w:rPr>
                                    <w:t>checklis</w:t>
                                  </w:r>
                                  <w:r w:rsidRPr="00A040C2">
                                    <w:rPr>
                                      <w:sz w:val="18"/>
                                      <w:szCs w:val="20"/>
                                    </w:rPr>
                                    <w:t xml:space="preserve">t, </w:t>
                                  </w:r>
                                  <w:r>
                                    <w:rPr>
                                      <w:sz w:val="18"/>
                                      <w:szCs w:val="20"/>
                                    </w:rPr>
                                    <w:t xml:space="preserve"> and</w:t>
                                  </w:r>
                                  <w:proofErr w:type="gramEnd"/>
                                  <w:r w:rsidRPr="00195E3C">
                                    <w:rPr>
                                      <w:sz w:val="18"/>
                                      <w:szCs w:val="20"/>
                                    </w:rPr>
                                    <w:t xml:space="preserve"> others referring from specific wards. Recent consensus work </w:t>
                                  </w:r>
                                  <w:r>
                                    <w:rPr>
                                      <w:sz w:val="18"/>
                                      <w:szCs w:val="20"/>
                                    </w:rPr>
                                    <w:t xml:space="preserve">undertaken nationally </w:t>
                                  </w:r>
                                  <w:r w:rsidRPr="00195E3C">
                                    <w:rPr>
                                      <w:sz w:val="18"/>
                                      <w:szCs w:val="20"/>
                                    </w:rPr>
                                    <w:t>indicates that the top referral criteria sho</w:t>
                                  </w:r>
                                  <w:r>
                                    <w:rPr>
                                      <w:sz w:val="18"/>
                                      <w:szCs w:val="20"/>
                                    </w:rPr>
                                    <w:t xml:space="preserve">uld </w:t>
                                  </w:r>
                                  <w:proofErr w:type="gramStart"/>
                                  <w:r>
                                    <w:rPr>
                                      <w:sz w:val="18"/>
                                      <w:szCs w:val="20"/>
                                    </w:rPr>
                                    <w:t>include:</w:t>
                                  </w:r>
                                  <w:proofErr w:type="gramEnd"/>
                                  <w:r>
                                    <w:rPr>
                                      <w:sz w:val="18"/>
                                      <w:szCs w:val="20"/>
                                    </w:rPr>
                                    <w:t xml:space="preserve"> high risk drugs, recently changed medication and new medication on discharge</w:t>
                                  </w:r>
                                  <w:r w:rsidRPr="00195E3C">
                                    <w:rPr>
                                      <w:sz w:val="18"/>
                                      <w:szCs w:val="20"/>
                                    </w:rPr>
                                    <w:t xml:space="preserve">. </w:t>
                                  </w:r>
                                  <w:r>
                                    <w:rPr>
                                      <w:sz w:val="18"/>
                                      <w:szCs w:val="20"/>
                                    </w:rPr>
                                    <w:t xml:space="preserve"> Refer to section </w:t>
                                  </w:r>
                                  <w:r w:rsidRPr="00C2519E">
                                    <w:rPr>
                                      <w:b/>
                                      <w:sz w:val="18"/>
                                      <w:szCs w:val="20"/>
                                    </w:rPr>
                                    <w:t>4.3</w:t>
                                  </w:r>
                                  <w:r>
                                    <w:rPr>
                                      <w:sz w:val="18"/>
                                      <w:szCs w:val="20"/>
                                    </w:rPr>
                                    <w:t xml:space="preserve"> </w:t>
                                  </w:r>
                                  <w:r w:rsidRPr="00195E3C">
                                    <w:rPr>
                                      <w:sz w:val="18"/>
                                      <w:szCs w:val="20"/>
                                    </w:rPr>
                                    <w:t xml:space="preserve">for </w:t>
                                  </w:r>
                                  <w:r>
                                    <w:rPr>
                                      <w:sz w:val="18"/>
                                      <w:szCs w:val="20"/>
                                    </w:rPr>
                                    <w:t xml:space="preserve">more </w:t>
                                  </w:r>
                                  <w:r w:rsidRPr="00195E3C">
                                    <w:rPr>
                                      <w:sz w:val="18"/>
                                      <w:szCs w:val="20"/>
                                    </w:rPr>
                                    <w:t>detail.</w:t>
                                  </w:r>
                                </w:p>
                              </w:tc>
                            </w:tr>
                            <w:tr w:rsidR="0088742D" w:rsidRPr="00195E3C" w14:paraId="1250507A" w14:textId="77777777" w:rsidTr="008874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40CB60CC" w14:textId="77777777" w:rsidR="0088742D" w:rsidRPr="00195E3C" w:rsidRDefault="0088742D" w:rsidP="0088742D">
                                  <w:pPr>
                                    <w:pStyle w:val="ListParagraph"/>
                                    <w:ind w:left="0"/>
                                    <w:rPr>
                                      <w:sz w:val="18"/>
                                      <w:szCs w:val="20"/>
                                    </w:rPr>
                                  </w:pPr>
                                  <w:r w:rsidRPr="00195E3C">
                                    <w:rPr>
                                      <w:sz w:val="18"/>
                                      <w:szCs w:val="20"/>
                                    </w:rPr>
                                    <w:t>Determine the information to be provided to patients</w:t>
                                  </w:r>
                                </w:p>
                              </w:tc>
                              <w:tc>
                                <w:tcPr>
                                  <w:tcW w:w="9780" w:type="dxa"/>
                                </w:tcPr>
                                <w:p w14:paraId="554D5204" w14:textId="77777777" w:rsidR="0088742D" w:rsidRPr="00195E3C" w:rsidRDefault="0088742D" w:rsidP="0088742D">
                                  <w:pPr>
                                    <w:pStyle w:val="ListParagraph"/>
                                    <w:ind w:left="0"/>
                                    <w:cnfStyle w:val="000000100000" w:firstRow="0" w:lastRow="0" w:firstColumn="0" w:lastColumn="0" w:oddVBand="0" w:evenVBand="0" w:oddHBand="1" w:evenHBand="0" w:firstRowFirstColumn="0" w:firstRowLastColumn="0" w:lastRowFirstColumn="0" w:lastRowLastColumn="0"/>
                                    <w:rPr>
                                      <w:sz w:val="18"/>
                                      <w:szCs w:val="20"/>
                                    </w:rPr>
                                  </w:pPr>
                                  <w:r>
                                    <w:rPr>
                                      <w:sz w:val="18"/>
                                      <w:szCs w:val="20"/>
                                    </w:rPr>
                                    <w:t xml:space="preserve">Examples of leaflets used by Trusts across UCLPartners geography can be found on the UCLP TCAM webpage. The Wessex AHSN Mo video has proven successful across numerous sites as an effective format to inform patients of the potential care that can be provided through clinical handover initiatives – also linked on the UCLPartners TCAM webpage. </w:t>
                                  </w:r>
                                </w:p>
                              </w:tc>
                            </w:tr>
                            <w:tr w:rsidR="0088742D" w:rsidRPr="00195E3C" w14:paraId="36C239F9" w14:textId="77777777" w:rsidTr="0088742D">
                              <w:tc>
                                <w:tcPr>
                                  <w:cnfStyle w:val="001000000000" w:firstRow="0" w:lastRow="0" w:firstColumn="1" w:lastColumn="0" w:oddVBand="0" w:evenVBand="0" w:oddHBand="0" w:evenHBand="0" w:firstRowFirstColumn="0" w:firstRowLastColumn="0" w:lastRowFirstColumn="0" w:lastRowLastColumn="0"/>
                                  <w:tcW w:w="3936" w:type="dxa"/>
                                </w:tcPr>
                                <w:p w14:paraId="2E2C16D0" w14:textId="77777777" w:rsidR="0088742D" w:rsidRPr="00195E3C" w:rsidRDefault="0088742D" w:rsidP="0088742D">
                                  <w:pPr>
                                    <w:pStyle w:val="ListParagraph"/>
                                    <w:ind w:left="0"/>
                                    <w:rPr>
                                      <w:sz w:val="18"/>
                                      <w:szCs w:val="20"/>
                                    </w:rPr>
                                  </w:pPr>
                                  <w:r w:rsidRPr="00195E3C">
                                    <w:rPr>
                                      <w:sz w:val="18"/>
                                      <w:szCs w:val="20"/>
                                    </w:rPr>
                                    <w:t xml:space="preserve">Determine the </w:t>
                                  </w:r>
                                  <w:proofErr w:type="gramStart"/>
                                  <w:r w:rsidRPr="00195E3C">
                                    <w:rPr>
                                      <w:sz w:val="18"/>
                                      <w:szCs w:val="20"/>
                                    </w:rPr>
                                    <w:t>information  that</w:t>
                                  </w:r>
                                  <w:proofErr w:type="gramEnd"/>
                                  <w:r w:rsidRPr="00195E3C">
                                    <w:rPr>
                                      <w:sz w:val="18"/>
                                      <w:szCs w:val="20"/>
                                    </w:rPr>
                                    <w:t xml:space="preserve"> the Trust would </w:t>
                                  </w:r>
                                  <w:r>
                                    <w:rPr>
                                      <w:sz w:val="18"/>
                                      <w:szCs w:val="20"/>
                                    </w:rPr>
                                    <w:t xml:space="preserve">            </w:t>
                                  </w:r>
                                  <w:r w:rsidRPr="00195E3C">
                                    <w:rPr>
                                      <w:sz w:val="18"/>
                                      <w:szCs w:val="20"/>
                                    </w:rPr>
                                    <w:t>like to send to the community pharmacy</w:t>
                                  </w:r>
                                </w:p>
                              </w:tc>
                              <w:tc>
                                <w:tcPr>
                                  <w:tcW w:w="9780" w:type="dxa"/>
                                </w:tcPr>
                                <w:p w14:paraId="6C73EFC5" w14:textId="77777777" w:rsidR="0088742D" w:rsidRPr="00195E3C" w:rsidRDefault="0088742D" w:rsidP="0088742D">
                                  <w:pPr>
                                    <w:pStyle w:val="ListParagraph"/>
                                    <w:ind w:left="0"/>
                                    <w:cnfStyle w:val="000000000000" w:firstRow="0" w:lastRow="0" w:firstColumn="0" w:lastColumn="0" w:oddVBand="0" w:evenVBand="0" w:oddHBand="0" w:evenHBand="0" w:firstRowFirstColumn="0" w:firstRowLastColumn="0" w:lastRowFirstColumn="0" w:lastRowLastColumn="0"/>
                                    <w:rPr>
                                      <w:sz w:val="18"/>
                                      <w:szCs w:val="20"/>
                                    </w:rPr>
                                  </w:pPr>
                                  <w:r w:rsidRPr="00195E3C">
                                    <w:rPr>
                                      <w:sz w:val="18"/>
                                      <w:szCs w:val="20"/>
                                    </w:rPr>
                                    <w:t xml:space="preserve">The RPS recommends core content of records for medicines when patients transfer between care providers, which can inform information that is shared. </w:t>
                                  </w:r>
                                </w:p>
                              </w:tc>
                            </w:tr>
                            <w:tr w:rsidR="0088742D" w:rsidRPr="00195E3C" w14:paraId="582D1C1C" w14:textId="77777777" w:rsidTr="008874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5436E464" w14:textId="77777777" w:rsidR="0088742D" w:rsidRPr="00195E3C" w:rsidRDefault="0088742D" w:rsidP="0088742D">
                                  <w:pPr>
                                    <w:pStyle w:val="ListParagraph"/>
                                    <w:ind w:left="0"/>
                                    <w:rPr>
                                      <w:sz w:val="18"/>
                                      <w:szCs w:val="20"/>
                                    </w:rPr>
                                  </w:pPr>
                                  <w:r w:rsidRPr="00195E3C">
                                    <w:rPr>
                                      <w:sz w:val="18"/>
                                      <w:szCs w:val="20"/>
                                    </w:rPr>
                                    <w:t>Determine the IT requirements and agree a timescale for implementation and sign off</w:t>
                                  </w:r>
                                </w:p>
                              </w:tc>
                              <w:tc>
                                <w:tcPr>
                                  <w:tcW w:w="9780" w:type="dxa"/>
                                </w:tcPr>
                                <w:p w14:paraId="58E4AF7C" w14:textId="77777777" w:rsidR="0088742D" w:rsidRPr="00195E3C" w:rsidRDefault="0088742D" w:rsidP="0088742D">
                                  <w:pPr>
                                    <w:pStyle w:val="ListParagraph"/>
                                    <w:ind w:left="0"/>
                                    <w:cnfStyle w:val="000000100000" w:firstRow="0" w:lastRow="0" w:firstColumn="0" w:lastColumn="0" w:oddVBand="0" w:evenVBand="0" w:oddHBand="1" w:evenHBand="0" w:firstRowFirstColumn="0" w:firstRowLastColumn="0" w:lastRowFirstColumn="0" w:lastRowLastColumn="0"/>
                                    <w:rPr>
                                      <w:sz w:val="18"/>
                                      <w:szCs w:val="20"/>
                                    </w:rPr>
                                  </w:pPr>
                                  <w:r w:rsidRPr="00195E3C">
                                    <w:rPr>
                                      <w:sz w:val="18"/>
                                      <w:szCs w:val="20"/>
                                    </w:rPr>
                                    <w:t xml:space="preserve">The RPS innovators toolkit: </w:t>
                                  </w:r>
                                  <w:r w:rsidRPr="00195E3C">
                                    <w:rPr>
                                      <w:i/>
                                      <w:sz w:val="18"/>
                                      <w:szCs w:val="20"/>
                                    </w:rPr>
                                    <w:t xml:space="preserve">Hospital referral to community pharmacy </w:t>
                                  </w:r>
                                  <w:r>
                                    <w:rPr>
                                      <w:sz w:val="18"/>
                                      <w:szCs w:val="20"/>
                                    </w:rPr>
                                    <w:t>[</w:t>
                                  </w:r>
                                  <w:r w:rsidRPr="00C41D73">
                                    <w:rPr>
                                      <w:sz w:val="18"/>
                                      <w:szCs w:val="20"/>
                                    </w:rPr>
                                    <w:t>PART 2: MAKING IT HAPPEN</w:t>
                                  </w:r>
                                  <w:r w:rsidRPr="00195E3C">
                                    <w:rPr>
                                      <w:sz w:val="18"/>
                                      <w:szCs w:val="20"/>
                                    </w:rPr>
                                    <w:t xml:space="preserve"> describe</w:t>
                                  </w:r>
                                  <w:r>
                                    <w:rPr>
                                      <w:sz w:val="18"/>
                                      <w:szCs w:val="20"/>
                                    </w:rPr>
                                    <w:t>s</w:t>
                                  </w:r>
                                  <w:r w:rsidRPr="00195E3C">
                                    <w:rPr>
                                      <w:sz w:val="18"/>
                                      <w:szCs w:val="20"/>
                                    </w:rPr>
                                    <w:t xml:space="preserve"> some basic requirements of an e-referral system. PharmOutcomes® (Pinnacle) and Refer-to-Pharmacy (Webstar) are two systems that offer full electronic integration. </w:t>
                                  </w:r>
                                  <w:r>
                                    <w:rPr>
                                      <w:sz w:val="18"/>
                                      <w:szCs w:val="20"/>
                                    </w:rPr>
                                    <w:t>Feedback from established implementers recommend engagement with platform designers is crucial to ensure the interface and delivery is fit for purpose and appropriate for data capture and recording.</w:t>
                                  </w:r>
                                </w:p>
                              </w:tc>
                            </w:tr>
                            <w:tr w:rsidR="0088742D" w:rsidRPr="00195E3C" w14:paraId="6CF64400" w14:textId="77777777" w:rsidTr="0088742D">
                              <w:tc>
                                <w:tcPr>
                                  <w:cnfStyle w:val="001000000000" w:firstRow="0" w:lastRow="0" w:firstColumn="1" w:lastColumn="0" w:oddVBand="0" w:evenVBand="0" w:oddHBand="0" w:evenHBand="0" w:firstRowFirstColumn="0" w:firstRowLastColumn="0" w:lastRowFirstColumn="0" w:lastRowLastColumn="0"/>
                                  <w:tcW w:w="3936" w:type="dxa"/>
                                </w:tcPr>
                                <w:p w14:paraId="559C45DF" w14:textId="77777777" w:rsidR="0088742D" w:rsidRPr="00195E3C" w:rsidRDefault="0088742D" w:rsidP="0088742D">
                                  <w:pPr>
                                    <w:pStyle w:val="ListParagraph"/>
                                    <w:ind w:left="0"/>
                                    <w:rPr>
                                      <w:sz w:val="18"/>
                                      <w:szCs w:val="20"/>
                                    </w:rPr>
                                  </w:pPr>
                                  <w:r w:rsidRPr="00195E3C">
                                    <w:rPr>
                                      <w:sz w:val="18"/>
                                      <w:szCs w:val="20"/>
                                    </w:rPr>
                                    <w:t>Determine the information governance requirements and agree a timescale for clarification and sign-off</w:t>
                                  </w:r>
                                </w:p>
                              </w:tc>
                              <w:tc>
                                <w:tcPr>
                                  <w:tcW w:w="9780" w:type="dxa"/>
                                </w:tcPr>
                                <w:p w14:paraId="673164D6" w14:textId="77777777" w:rsidR="0088742D" w:rsidRPr="00195E3C" w:rsidRDefault="0088742D" w:rsidP="0088742D">
                                  <w:pPr>
                                    <w:pStyle w:val="ListParagraph"/>
                                    <w:ind w:left="0"/>
                                    <w:cnfStyle w:val="000000000000" w:firstRow="0" w:lastRow="0" w:firstColumn="0" w:lastColumn="0" w:oddVBand="0" w:evenVBand="0" w:oddHBand="0" w:evenHBand="0" w:firstRowFirstColumn="0" w:firstRowLastColumn="0" w:lastRowFirstColumn="0" w:lastRowLastColumn="0"/>
                                    <w:rPr>
                                      <w:sz w:val="18"/>
                                      <w:szCs w:val="20"/>
                                    </w:rPr>
                                  </w:pPr>
                                  <w:r w:rsidRPr="00195E3C">
                                    <w:rPr>
                                      <w:sz w:val="18"/>
                                      <w:szCs w:val="20"/>
                                    </w:rPr>
                                    <w:t>There are information governance requirements around the sharing of information and consent which need to be considered locally and specific to the IT solution adopted. A Privacy Impact Assessment may be needed. Early engagement with Trust I</w:t>
                                  </w:r>
                                  <w:r>
                                    <w:rPr>
                                      <w:sz w:val="18"/>
                                      <w:szCs w:val="20"/>
                                    </w:rPr>
                                    <w:t xml:space="preserve">nformation </w:t>
                                  </w:r>
                                  <w:r w:rsidRPr="00195E3C">
                                    <w:rPr>
                                      <w:sz w:val="18"/>
                                      <w:szCs w:val="20"/>
                                    </w:rPr>
                                    <w:t>G</w:t>
                                  </w:r>
                                  <w:r>
                                    <w:rPr>
                                      <w:sz w:val="18"/>
                                      <w:szCs w:val="20"/>
                                    </w:rPr>
                                    <w:t>overnance</w:t>
                                  </w:r>
                                  <w:r w:rsidRPr="00195E3C">
                                    <w:rPr>
                                      <w:sz w:val="18"/>
                                      <w:szCs w:val="20"/>
                                    </w:rPr>
                                    <w:t xml:space="preserve"> lead</w:t>
                                  </w:r>
                                  <w:r>
                                    <w:rPr>
                                      <w:sz w:val="18"/>
                                      <w:szCs w:val="20"/>
                                    </w:rPr>
                                    <w:t xml:space="preserve"> is required to work through potential barriers and challenges.</w:t>
                                  </w:r>
                                </w:p>
                              </w:tc>
                            </w:tr>
                            <w:tr w:rsidR="0088742D" w:rsidRPr="00195E3C" w14:paraId="7F113D57" w14:textId="77777777" w:rsidTr="008874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3E9BA12C" w14:textId="77777777" w:rsidR="0088742D" w:rsidRPr="00195E3C" w:rsidRDefault="0088742D" w:rsidP="0088742D">
                                  <w:pPr>
                                    <w:pStyle w:val="ListParagraph"/>
                                    <w:ind w:left="0"/>
                                    <w:rPr>
                                      <w:sz w:val="18"/>
                                      <w:szCs w:val="20"/>
                                    </w:rPr>
                                  </w:pPr>
                                  <w:r w:rsidRPr="00195E3C">
                                    <w:rPr>
                                      <w:sz w:val="18"/>
                                      <w:szCs w:val="20"/>
                                    </w:rPr>
                                    <w:t xml:space="preserve">Develop a standard operating procedure </w:t>
                                  </w:r>
                                  <w:r>
                                    <w:rPr>
                                      <w:sz w:val="18"/>
                                      <w:szCs w:val="20"/>
                                    </w:rPr>
                                    <w:t xml:space="preserve">(SOP) </w:t>
                                  </w:r>
                                  <w:r w:rsidRPr="00195E3C">
                                    <w:rPr>
                                      <w:sz w:val="18"/>
                                      <w:szCs w:val="20"/>
                                    </w:rPr>
                                    <w:t>and the behaviour changes required</w:t>
                                  </w:r>
                                </w:p>
                              </w:tc>
                              <w:tc>
                                <w:tcPr>
                                  <w:tcW w:w="9780" w:type="dxa"/>
                                </w:tcPr>
                                <w:p w14:paraId="7382E17C" w14:textId="77777777" w:rsidR="0088742D" w:rsidRPr="00195E3C" w:rsidRDefault="0088742D" w:rsidP="0088742D">
                                  <w:pPr>
                                    <w:pStyle w:val="ListParagraph"/>
                                    <w:ind w:left="0"/>
                                    <w:cnfStyle w:val="000000100000" w:firstRow="0" w:lastRow="0" w:firstColumn="0" w:lastColumn="0" w:oddVBand="0" w:evenVBand="0" w:oddHBand="1" w:evenHBand="0" w:firstRowFirstColumn="0" w:firstRowLastColumn="0" w:lastRowFirstColumn="0" w:lastRowLastColumn="0"/>
                                    <w:rPr>
                                      <w:sz w:val="18"/>
                                      <w:szCs w:val="20"/>
                                    </w:rPr>
                                  </w:pPr>
                                  <w:r w:rsidRPr="00195E3C">
                                    <w:rPr>
                                      <w:sz w:val="18"/>
                                      <w:szCs w:val="20"/>
                                    </w:rPr>
                                    <w:t>Local requirements, existing processes and local information governance and consent practice will be incorporated into the developed SOP.</w:t>
                                  </w:r>
                                  <w:r>
                                    <w:rPr>
                                      <w:sz w:val="18"/>
                                      <w:szCs w:val="20"/>
                                    </w:rPr>
                                    <w:t xml:space="preserve"> An example SOP for community pharmacists is available at </w:t>
                                  </w:r>
                                  <w:hyperlink r:id="rId14" w:history="1">
                                    <w:r w:rsidRPr="00775824">
                                      <w:rPr>
                                        <w:rStyle w:val="Hyperlink"/>
                                        <w:sz w:val="18"/>
                                        <w:szCs w:val="20"/>
                                      </w:rPr>
                                      <w:t>https://psnc.org.uk/331753-tcam-sop-template/</w:t>
                                    </w:r>
                                  </w:hyperlink>
                                  <w:r>
                                    <w:rPr>
                                      <w:sz w:val="18"/>
                                      <w:szCs w:val="20"/>
                                    </w:rPr>
                                    <w:t xml:space="preserve"> </w:t>
                                  </w:r>
                                </w:p>
                              </w:tc>
                            </w:tr>
                            <w:tr w:rsidR="0088742D" w:rsidRPr="00195E3C" w14:paraId="0C5D4E27" w14:textId="77777777" w:rsidTr="0088742D">
                              <w:tc>
                                <w:tcPr>
                                  <w:cnfStyle w:val="001000000000" w:firstRow="0" w:lastRow="0" w:firstColumn="1" w:lastColumn="0" w:oddVBand="0" w:evenVBand="0" w:oddHBand="0" w:evenHBand="0" w:firstRowFirstColumn="0" w:firstRowLastColumn="0" w:lastRowFirstColumn="0" w:lastRowLastColumn="0"/>
                                  <w:tcW w:w="3936" w:type="dxa"/>
                                </w:tcPr>
                                <w:p w14:paraId="536B3701" w14:textId="77777777" w:rsidR="0088742D" w:rsidRPr="00195E3C" w:rsidRDefault="0088742D" w:rsidP="0088742D">
                                  <w:pPr>
                                    <w:pStyle w:val="ListParagraph"/>
                                    <w:ind w:left="0"/>
                                    <w:rPr>
                                      <w:sz w:val="18"/>
                                      <w:szCs w:val="20"/>
                                    </w:rPr>
                                  </w:pPr>
                                  <w:r w:rsidRPr="00195E3C">
                                    <w:rPr>
                                      <w:sz w:val="18"/>
                                      <w:szCs w:val="20"/>
                                    </w:rPr>
                                    <w:t>Develop and test message transport processes</w:t>
                                  </w:r>
                                </w:p>
                              </w:tc>
                              <w:tc>
                                <w:tcPr>
                                  <w:tcW w:w="9780" w:type="dxa"/>
                                </w:tcPr>
                                <w:p w14:paraId="5329F9B4" w14:textId="77777777" w:rsidR="0088742D" w:rsidRPr="00195E3C" w:rsidRDefault="0088742D" w:rsidP="0088742D">
                                  <w:pPr>
                                    <w:pStyle w:val="ListParagraph"/>
                                    <w:ind w:left="0"/>
                                    <w:cnfStyle w:val="000000000000" w:firstRow="0" w:lastRow="0" w:firstColumn="0" w:lastColumn="0" w:oddVBand="0" w:evenVBand="0" w:oddHBand="0" w:evenHBand="0" w:firstRowFirstColumn="0" w:firstRowLastColumn="0" w:lastRowFirstColumn="0" w:lastRowLastColumn="0"/>
                                    <w:rPr>
                                      <w:sz w:val="18"/>
                                      <w:szCs w:val="20"/>
                                    </w:rPr>
                                  </w:pPr>
                                  <w:r w:rsidRPr="00195E3C">
                                    <w:rPr>
                                      <w:sz w:val="18"/>
                                      <w:szCs w:val="20"/>
                                    </w:rPr>
                                    <w:t>To test feasibility and usability.</w:t>
                                  </w:r>
                                  <w:r>
                                    <w:rPr>
                                      <w:sz w:val="18"/>
                                      <w:szCs w:val="20"/>
                                    </w:rPr>
                                    <w:t xml:space="preserve"> Check for the potential for a ‘push’ message to community pharmacy to increase completion of the handover and engagement with the patient in primary care. If using Pharmoutcomes, the System supplier Pinnacle will assist with this and have test systems to use.</w:t>
                                  </w:r>
                                </w:p>
                              </w:tc>
                            </w:tr>
                            <w:tr w:rsidR="0088742D" w:rsidRPr="00195E3C" w14:paraId="459B7CC5" w14:textId="77777777" w:rsidTr="008874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728BE6E3" w14:textId="77777777" w:rsidR="0088742D" w:rsidRPr="00195E3C" w:rsidRDefault="0088742D" w:rsidP="0088742D">
                                  <w:pPr>
                                    <w:pStyle w:val="ListParagraph"/>
                                    <w:ind w:left="0"/>
                                    <w:rPr>
                                      <w:sz w:val="18"/>
                                      <w:szCs w:val="20"/>
                                    </w:rPr>
                                  </w:pPr>
                                  <w:r w:rsidRPr="00195E3C">
                                    <w:rPr>
                                      <w:sz w:val="18"/>
                                      <w:szCs w:val="20"/>
                                    </w:rPr>
                                    <w:t>Review AHSN research proposals and gain sign off locally</w:t>
                                  </w:r>
                                </w:p>
                              </w:tc>
                              <w:tc>
                                <w:tcPr>
                                  <w:tcW w:w="9780" w:type="dxa"/>
                                </w:tcPr>
                                <w:p w14:paraId="7C257F8F" w14:textId="77777777" w:rsidR="0088742D" w:rsidRPr="00195E3C" w:rsidRDefault="0088742D" w:rsidP="0088742D">
                                  <w:pPr>
                                    <w:pStyle w:val="ListParagraph"/>
                                    <w:ind w:left="0"/>
                                    <w:cnfStyle w:val="000000100000" w:firstRow="0" w:lastRow="0" w:firstColumn="0" w:lastColumn="0" w:oddVBand="0" w:evenVBand="0" w:oddHBand="1" w:evenHBand="0" w:firstRowFirstColumn="0" w:firstRowLastColumn="0" w:lastRowFirstColumn="0" w:lastRowLastColumn="0"/>
                                    <w:rPr>
                                      <w:sz w:val="18"/>
                                      <w:szCs w:val="20"/>
                                    </w:rPr>
                                  </w:pPr>
                                  <w:r w:rsidRPr="00195E3C">
                                    <w:rPr>
                                      <w:sz w:val="18"/>
                                      <w:szCs w:val="20"/>
                                    </w:rPr>
                                    <w:t>There should be an aim to evaluate the benefits of transferring data to community pharmacy as part of the clinical handover.</w:t>
                                  </w:r>
                                </w:p>
                              </w:tc>
                            </w:tr>
                            <w:tr w:rsidR="0088742D" w:rsidRPr="00195E3C" w14:paraId="1FF3BC41" w14:textId="77777777" w:rsidTr="0088742D">
                              <w:tc>
                                <w:tcPr>
                                  <w:cnfStyle w:val="001000000000" w:firstRow="0" w:lastRow="0" w:firstColumn="1" w:lastColumn="0" w:oddVBand="0" w:evenVBand="0" w:oddHBand="0" w:evenHBand="0" w:firstRowFirstColumn="0" w:firstRowLastColumn="0" w:lastRowFirstColumn="0" w:lastRowLastColumn="0"/>
                                  <w:tcW w:w="3936" w:type="dxa"/>
                                </w:tcPr>
                                <w:p w14:paraId="790E7A17" w14:textId="77777777" w:rsidR="0088742D" w:rsidRPr="00195E3C" w:rsidRDefault="0088742D" w:rsidP="0088742D">
                                  <w:pPr>
                                    <w:pStyle w:val="ListParagraph"/>
                                    <w:ind w:left="0"/>
                                    <w:rPr>
                                      <w:sz w:val="18"/>
                                      <w:szCs w:val="20"/>
                                    </w:rPr>
                                  </w:pPr>
                                  <w:r w:rsidRPr="00195E3C">
                                    <w:rPr>
                                      <w:sz w:val="18"/>
                                      <w:szCs w:val="20"/>
                                    </w:rPr>
                                    <w:t>Train staff</w:t>
                                  </w:r>
                                </w:p>
                              </w:tc>
                              <w:tc>
                                <w:tcPr>
                                  <w:tcW w:w="9780" w:type="dxa"/>
                                </w:tcPr>
                                <w:p w14:paraId="3B6EAD1B" w14:textId="77777777" w:rsidR="0088742D" w:rsidRPr="00195E3C" w:rsidRDefault="0088742D" w:rsidP="0088742D">
                                  <w:pPr>
                                    <w:pStyle w:val="ListParagraph"/>
                                    <w:ind w:left="0"/>
                                    <w:cnfStyle w:val="000000000000" w:firstRow="0" w:lastRow="0" w:firstColumn="0" w:lastColumn="0" w:oddVBand="0" w:evenVBand="0" w:oddHBand="0" w:evenHBand="0" w:firstRowFirstColumn="0" w:firstRowLastColumn="0" w:lastRowFirstColumn="0" w:lastRowLastColumn="0"/>
                                    <w:rPr>
                                      <w:sz w:val="18"/>
                                      <w:szCs w:val="20"/>
                                    </w:rPr>
                                  </w:pPr>
                                  <w:r w:rsidRPr="00195E3C">
                                    <w:rPr>
                                      <w:sz w:val="18"/>
                                      <w:szCs w:val="20"/>
                                    </w:rPr>
                                    <w:t>Develop and deliver appropriate training.</w:t>
                                  </w:r>
                                </w:p>
                              </w:tc>
                            </w:tr>
                            <w:tr w:rsidR="0088742D" w:rsidRPr="00195E3C" w14:paraId="64299E5A" w14:textId="77777777" w:rsidTr="008874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6489BC1D" w14:textId="77777777" w:rsidR="0088742D" w:rsidRPr="00195E3C" w:rsidRDefault="0088742D" w:rsidP="0088742D">
                                  <w:pPr>
                                    <w:pStyle w:val="ListParagraph"/>
                                    <w:ind w:left="0"/>
                                    <w:rPr>
                                      <w:sz w:val="18"/>
                                      <w:szCs w:val="20"/>
                                    </w:rPr>
                                  </w:pPr>
                                  <w:r w:rsidRPr="00195E3C">
                                    <w:rPr>
                                      <w:sz w:val="18"/>
                                      <w:szCs w:val="20"/>
                                    </w:rPr>
                                    <w:t>Communicate with and train community pharmacists</w:t>
                                  </w:r>
                                </w:p>
                              </w:tc>
                              <w:tc>
                                <w:tcPr>
                                  <w:tcW w:w="9780" w:type="dxa"/>
                                </w:tcPr>
                                <w:p w14:paraId="13028EB6" w14:textId="77777777" w:rsidR="0088742D" w:rsidRPr="00195E3C" w:rsidRDefault="0088742D" w:rsidP="0088742D">
                                  <w:pPr>
                                    <w:pStyle w:val="ListParagraph"/>
                                    <w:ind w:left="0"/>
                                    <w:cnfStyle w:val="000000100000" w:firstRow="0" w:lastRow="0" w:firstColumn="0" w:lastColumn="0" w:oddVBand="0" w:evenVBand="0" w:oddHBand="1" w:evenHBand="0" w:firstRowFirstColumn="0" w:firstRowLastColumn="0" w:lastRowFirstColumn="0" w:lastRowLastColumn="0"/>
                                    <w:rPr>
                                      <w:sz w:val="18"/>
                                      <w:szCs w:val="20"/>
                                    </w:rPr>
                                  </w:pPr>
                                  <w:r w:rsidRPr="00195E3C">
                                    <w:rPr>
                                      <w:sz w:val="18"/>
                                      <w:szCs w:val="20"/>
                                    </w:rPr>
                                    <w:t xml:space="preserve">Develop and deliver appropriate communication and training. The RPS innovator’s toolkit: </w:t>
                                  </w:r>
                                  <w:r w:rsidRPr="00195E3C">
                                    <w:rPr>
                                      <w:i/>
                                      <w:sz w:val="18"/>
                                      <w:szCs w:val="20"/>
                                    </w:rPr>
                                    <w:t>Hospital referral to community pharmacy</w:t>
                                  </w:r>
                                  <w:r w:rsidRPr="00A135B5">
                                    <w:rPr>
                                      <w:i/>
                                      <w:sz w:val="18"/>
                                      <w:szCs w:val="20"/>
                                      <w:vertAlign w:val="superscript"/>
                                    </w:rPr>
                                    <w:fldChar w:fldCharType="begin"/>
                                  </w:r>
                                  <w:r w:rsidRPr="00A135B5">
                                    <w:rPr>
                                      <w:i/>
                                      <w:sz w:val="18"/>
                                      <w:szCs w:val="20"/>
                                      <w:vertAlign w:val="superscript"/>
                                    </w:rPr>
                                    <w:instrText xml:space="preserve"> NOTEREF _Ref38363128 \h </w:instrText>
                                  </w:r>
                                  <w:r w:rsidRPr="00A135B5">
                                    <w:rPr>
                                      <w:i/>
                                      <w:sz w:val="18"/>
                                      <w:szCs w:val="20"/>
                                      <w:vertAlign w:val="superscript"/>
                                    </w:rPr>
                                  </w:r>
                                  <w:r>
                                    <w:rPr>
                                      <w:i/>
                                      <w:sz w:val="18"/>
                                      <w:szCs w:val="20"/>
                                      <w:vertAlign w:val="superscript"/>
                                    </w:rPr>
                                    <w:instrText xml:space="preserve"> \* MERGEFORMAT </w:instrText>
                                  </w:r>
                                  <w:r w:rsidRPr="00A135B5">
                                    <w:rPr>
                                      <w:i/>
                                      <w:sz w:val="18"/>
                                      <w:szCs w:val="20"/>
                                      <w:vertAlign w:val="superscript"/>
                                    </w:rPr>
                                    <w:fldChar w:fldCharType="separate"/>
                                  </w:r>
                                  <w:r w:rsidRPr="00A135B5">
                                    <w:rPr>
                                      <w:i/>
                                      <w:sz w:val="18"/>
                                      <w:szCs w:val="20"/>
                                      <w:vertAlign w:val="superscript"/>
                                    </w:rPr>
                                    <w:t>8</w:t>
                                  </w:r>
                                  <w:r w:rsidRPr="00A135B5">
                                    <w:rPr>
                                      <w:i/>
                                      <w:sz w:val="18"/>
                                      <w:szCs w:val="20"/>
                                      <w:vertAlign w:val="superscript"/>
                                    </w:rPr>
                                    <w:fldChar w:fldCharType="end"/>
                                  </w:r>
                                  <w:r w:rsidRPr="00195E3C">
                                    <w:rPr>
                                      <w:sz w:val="18"/>
                                      <w:szCs w:val="20"/>
                                    </w:rPr>
                                    <w:t xml:space="preserve"> includes some aspects of a communication and dissemination plan.</w:t>
                                  </w:r>
                                </w:p>
                              </w:tc>
                            </w:tr>
                          </w:tbl>
                          <w:p w14:paraId="2BACD26A" w14:textId="77777777" w:rsidR="0088742D" w:rsidRPr="00D31C2C" w:rsidRDefault="0088742D" w:rsidP="0088742D">
                            <w:pPr>
                              <w:pStyle w:val="ListParagraph"/>
                              <w:ind w:left="0"/>
                              <w:rPr>
                                <w:sz w:val="20"/>
                                <w:szCs w:val="20"/>
                              </w:rPr>
                            </w:pPr>
                            <w:r>
                              <w:rPr>
                                <w:sz w:val="20"/>
                                <w:szCs w:val="20"/>
                              </w:rPr>
                              <w:t xml:space="preserve"> </w:t>
                            </w:r>
                          </w:p>
                          <w:p w14:paraId="2010FFAE" w14:textId="77777777" w:rsidR="0088742D" w:rsidRPr="00D31C2C" w:rsidRDefault="0088742D" w:rsidP="0088742D">
                            <w:pPr>
                              <w:pStyle w:val="ListParagraph"/>
                              <w:ind w:left="0"/>
                              <w:rPr>
                                <w:sz w:val="20"/>
                                <w:szCs w:val="20"/>
                              </w:rPr>
                            </w:pPr>
                          </w:p>
                          <w:p w14:paraId="472D8184" w14:textId="77777777" w:rsidR="0088742D" w:rsidRPr="00D31C2C" w:rsidRDefault="0088742D" w:rsidP="0088742D">
                            <w:pPr>
                              <w:pStyle w:val="ListParagraph"/>
                              <w:ind w:left="0"/>
                              <w:rPr>
                                <w:sz w:val="20"/>
                                <w:szCs w:val="2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3A33C59" id="Text Box 16" o:spid="_x0000_s1029" type="#_x0000_t202" style="position:absolute;margin-left:0;margin-top:0;width:745.15pt;height:499.5pt;z-index:-251651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" fillcolor="#80cdee [2164]" strokecolor="#41b6e6 [3204]" strokeweight=".5pt">
                <v:fill color2="#65c3ea [2612]" rotate="t" colors="0 #a9d8f3;.5 #9ad1f0;1 #87ccf2" focus="100%" type="gradient">
                  <o:fill v:ext="view" type="gradientUnscaled"/>
                </v:fill>
                <v:textbox>
                  <w:txbxContent>
                    <w:tbl>
                      <w:tblPr>
                        <w:tblStyle w:val="GridTable2-Accent51"/>
                        <w:tblW w:w="13716" w:type="dxa"/>
                        <w:tblLayout w:type="fixed"/>
                        <w:tblLook w:val="04A0" w:firstRow="1" w:lastRow="0" w:firstColumn="1" w:lastColumn="0" w:noHBand="0" w:noVBand="1"/>
                      </w:tblPr>
                      <w:tblGrid>
                        <w:gridCol w:w="3936"/>
                        <w:gridCol w:w="9780"/>
                      </w:tblGrid>
                      <w:tr w:rsidR="0088742D" w:rsidRPr="00195E3C" w14:paraId="169A1E3D" w14:textId="77777777" w:rsidTr="008874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40398749" w14:textId="77777777" w:rsidR="0088742D" w:rsidRPr="0090386E" w:rsidRDefault="0088742D" w:rsidP="0088742D">
                            <w:pPr>
                              <w:pStyle w:val="ListParagraph"/>
                              <w:ind w:left="0"/>
                              <w:rPr>
                                <w:b w:val="0"/>
                                <w:bCs w:val="0"/>
                                <w:sz w:val="18"/>
                                <w:szCs w:val="20"/>
                              </w:rPr>
                            </w:pPr>
                            <w:r w:rsidRPr="00195E3C">
                              <w:rPr>
                                <w:sz w:val="18"/>
                                <w:szCs w:val="20"/>
                              </w:rPr>
                              <w:t xml:space="preserve">Project </w:t>
                            </w:r>
                            <w:r>
                              <w:rPr>
                                <w:sz w:val="18"/>
                                <w:szCs w:val="20"/>
                              </w:rPr>
                              <w:t>step</w:t>
                            </w:r>
                          </w:p>
                        </w:tc>
                        <w:tc>
                          <w:tcPr>
                            <w:tcW w:w="9780" w:type="dxa"/>
                          </w:tcPr>
                          <w:p w14:paraId="7A07C193" w14:textId="77777777" w:rsidR="0088742D" w:rsidRPr="00195E3C" w:rsidRDefault="0088742D" w:rsidP="0088742D">
                            <w:pPr>
                              <w:pStyle w:val="ListParagraph"/>
                              <w:ind w:left="0"/>
                              <w:cnfStyle w:val="100000000000" w:firstRow="1" w:lastRow="0" w:firstColumn="0" w:lastColumn="0" w:oddVBand="0" w:evenVBand="0" w:oddHBand="0" w:evenHBand="0" w:firstRowFirstColumn="0" w:firstRowLastColumn="0" w:lastRowFirstColumn="0" w:lastRowLastColumn="0"/>
                              <w:rPr>
                                <w:sz w:val="18"/>
                                <w:szCs w:val="20"/>
                              </w:rPr>
                            </w:pPr>
                            <w:r>
                              <w:rPr>
                                <w:sz w:val="18"/>
                                <w:szCs w:val="20"/>
                              </w:rPr>
                              <w:t>Comments</w:t>
                            </w:r>
                          </w:p>
                        </w:tc>
                      </w:tr>
                      <w:tr w:rsidR="0088742D" w:rsidRPr="00195E3C" w14:paraId="705618F7" w14:textId="77777777" w:rsidTr="008874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3186CB20" w14:textId="77777777" w:rsidR="0088742D" w:rsidRPr="00195E3C" w:rsidRDefault="0088742D" w:rsidP="0088742D">
                            <w:pPr>
                              <w:pStyle w:val="ListParagraph"/>
                              <w:ind w:left="0"/>
                              <w:rPr>
                                <w:sz w:val="18"/>
                                <w:szCs w:val="20"/>
                              </w:rPr>
                            </w:pPr>
                            <w:r w:rsidRPr="00195E3C">
                              <w:rPr>
                                <w:sz w:val="18"/>
                                <w:szCs w:val="20"/>
                              </w:rPr>
                              <w:t>Determine and confirm the method of implementing</w:t>
                            </w:r>
                          </w:p>
                        </w:tc>
                        <w:tc>
                          <w:tcPr>
                            <w:tcW w:w="9780" w:type="dxa"/>
                          </w:tcPr>
                          <w:p w14:paraId="1B2B509C" w14:textId="77777777" w:rsidR="0088742D" w:rsidRPr="00195E3C" w:rsidRDefault="0088742D" w:rsidP="0088742D">
                            <w:pPr>
                              <w:pStyle w:val="ListParagraph"/>
                              <w:ind w:left="0"/>
                              <w:cnfStyle w:val="000000100000" w:firstRow="0" w:lastRow="0" w:firstColumn="0" w:lastColumn="0" w:oddVBand="0" w:evenVBand="0" w:oddHBand="1" w:evenHBand="0" w:firstRowFirstColumn="0" w:firstRowLastColumn="0" w:lastRowFirstColumn="0" w:lastRowLastColumn="0"/>
                              <w:rPr>
                                <w:sz w:val="18"/>
                                <w:szCs w:val="20"/>
                              </w:rPr>
                            </w:pPr>
                            <w:r w:rsidRPr="00195E3C">
                              <w:rPr>
                                <w:sz w:val="18"/>
                                <w:szCs w:val="20"/>
                              </w:rPr>
                              <w:t>There are three methods of implementing information transfer to facilitate the clinical handover:</w:t>
                            </w:r>
                          </w:p>
                          <w:p w14:paraId="67C03D2C" w14:textId="77777777" w:rsidR="0088742D" w:rsidRPr="00195E3C" w:rsidRDefault="0088742D" w:rsidP="0088742D">
                            <w:pPr>
                              <w:pStyle w:val="ListParagraph"/>
                              <w:numPr>
                                <w:ilvl w:val="0"/>
                                <w:numId w:val="44"/>
                              </w:numPr>
                              <w:spacing w:before="120" w:after="120" w:line="276" w:lineRule="auto"/>
                              <w:cnfStyle w:val="000000100000" w:firstRow="0" w:lastRow="0" w:firstColumn="0" w:lastColumn="0" w:oddVBand="0" w:evenVBand="0" w:oddHBand="1" w:evenHBand="0" w:firstRowFirstColumn="0" w:firstRowLastColumn="0" w:lastRowFirstColumn="0" w:lastRowLastColumn="0"/>
                              <w:rPr>
                                <w:sz w:val="18"/>
                                <w:szCs w:val="20"/>
                              </w:rPr>
                            </w:pPr>
                            <w:r w:rsidRPr="00195E3C">
                              <w:rPr>
                                <w:sz w:val="18"/>
                                <w:szCs w:val="20"/>
                              </w:rPr>
                              <w:t>Full electronic integration</w:t>
                            </w:r>
                          </w:p>
                          <w:p w14:paraId="54F7AC48" w14:textId="77777777" w:rsidR="0088742D" w:rsidRPr="00195E3C" w:rsidRDefault="0088742D" w:rsidP="0088742D">
                            <w:pPr>
                              <w:pStyle w:val="ListParagraph"/>
                              <w:numPr>
                                <w:ilvl w:val="0"/>
                                <w:numId w:val="44"/>
                              </w:numPr>
                              <w:spacing w:before="120" w:after="120" w:line="276" w:lineRule="auto"/>
                              <w:cnfStyle w:val="000000100000" w:firstRow="0" w:lastRow="0" w:firstColumn="0" w:lastColumn="0" w:oddVBand="0" w:evenVBand="0" w:oddHBand="1" w:evenHBand="0" w:firstRowFirstColumn="0" w:firstRowLastColumn="0" w:lastRowFirstColumn="0" w:lastRowLastColumn="0"/>
                              <w:rPr>
                                <w:sz w:val="18"/>
                                <w:szCs w:val="20"/>
                              </w:rPr>
                            </w:pPr>
                            <w:r w:rsidRPr="00195E3C">
                              <w:rPr>
                                <w:sz w:val="18"/>
                                <w:szCs w:val="20"/>
                              </w:rPr>
                              <w:t>Partial electronic integration</w:t>
                            </w:r>
                          </w:p>
                          <w:p w14:paraId="3C992431" w14:textId="77777777" w:rsidR="0088742D" w:rsidRDefault="0088742D" w:rsidP="0088742D">
                            <w:pPr>
                              <w:pStyle w:val="ListParagraph"/>
                              <w:numPr>
                                <w:ilvl w:val="0"/>
                                <w:numId w:val="44"/>
                              </w:numPr>
                              <w:spacing w:before="120" w:after="120" w:line="276" w:lineRule="auto"/>
                              <w:cnfStyle w:val="000000100000" w:firstRow="0" w:lastRow="0" w:firstColumn="0" w:lastColumn="0" w:oddVBand="0" w:evenVBand="0" w:oddHBand="1" w:evenHBand="0" w:firstRowFirstColumn="0" w:firstRowLastColumn="0" w:lastRowFirstColumn="0" w:lastRowLastColumn="0"/>
                              <w:rPr>
                                <w:sz w:val="18"/>
                                <w:szCs w:val="20"/>
                              </w:rPr>
                            </w:pPr>
                            <w:r w:rsidRPr="00195E3C">
                              <w:rPr>
                                <w:sz w:val="18"/>
                                <w:szCs w:val="20"/>
                              </w:rPr>
                              <w:t>Manual data entry via web portal</w:t>
                            </w:r>
                            <w:r>
                              <w:rPr>
                                <w:sz w:val="18"/>
                                <w:szCs w:val="20"/>
                              </w:rPr>
                              <w:t>. Early implementer experience evidences this option as least preferred due to the additional data entry requirement and poor stream-lining of process.</w:t>
                            </w:r>
                          </w:p>
                          <w:p w14:paraId="5A0E4411" w14:textId="77777777" w:rsidR="0088742D" w:rsidRPr="00195E3C" w:rsidRDefault="0088742D" w:rsidP="0088742D">
                            <w:pPr>
                              <w:pStyle w:val="ListParagraph"/>
                              <w:ind w:left="0"/>
                              <w:cnfStyle w:val="000000100000" w:firstRow="0" w:lastRow="0" w:firstColumn="0" w:lastColumn="0" w:oddVBand="0" w:evenVBand="0" w:oddHBand="1" w:evenHBand="0" w:firstRowFirstColumn="0" w:firstRowLastColumn="0" w:lastRowFirstColumn="0" w:lastRowLastColumn="0"/>
                              <w:rPr>
                                <w:sz w:val="18"/>
                                <w:szCs w:val="20"/>
                              </w:rPr>
                            </w:pPr>
                            <w:r>
                              <w:rPr>
                                <w:sz w:val="18"/>
                                <w:szCs w:val="20"/>
                              </w:rPr>
                              <w:t>In each case, e</w:t>
                            </w:r>
                            <w:r w:rsidRPr="00195E3C">
                              <w:rPr>
                                <w:sz w:val="18"/>
                                <w:szCs w:val="20"/>
                              </w:rPr>
                              <w:t>arly engagement of Trust IT vital</w:t>
                            </w:r>
                            <w:r>
                              <w:rPr>
                                <w:sz w:val="18"/>
                                <w:szCs w:val="20"/>
                              </w:rPr>
                              <w:t xml:space="preserve"> to inform and plan implementation.</w:t>
                            </w:r>
                          </w:p>
                        </w:tc>
                      </w:tr>
                      <w:tr w:rsidR="0088742D" w:rsidRPr="00195E3C" w14:paraId="3F4E7AD7" w14:textId="77777777" w:rsidTr="0088742D">
                        <w:tc>
                          <w:tcPr>
                            <w:cnfStyle w:val="001000000000" w:firstRow="0" w:lastRow="0" w:firstColumn="1" w:lastColumn="0" w:oddVBand="0" w:evenVBand="0" w:oddHBand="0" w:evenHBand="0" w:firstRowFirstColumn="0" w:firstRowLastColumn="0" w:lastRowFirstColumn="0" w:lastRowLastColumn="0"/>
                            <w:tcW w:w="3936" w:type="dxa"/>
                          </w:tcPr>
                          <w:p w14:paraId="32089EF0" w14:textId="77777777" w:rsidR="0088742D" w:rsidRPr="00195E3C" w:rsidRDefault="0088742D" w:rsidP="0088742D">
                            <w:pPr>
                              <w:pStyle w:val="ListParagraph"/>
                              <w:ind w:left="0"/>
                              <w:rPr>
                                <w:sz w:val="18"/>
                                <w:szCs w:val="20"/>
                              </w:rPr>
                            </w:pPr>
                            <w:r w:rsidRPr="00195E3C">
                              <w:rPr>
                                <w:sz w:val="18"/>
                                <w:szCs w:val="20"/>
                              </w:rPr>
                              <w:t>Determine the patient groups to be included</w:t>
                            </w:r>
                          </w:p>
                        </w:tc>
                        <w:tc>
                          <w:tcPr>
                            <w:tcW w:w="9780" w:type="dxa"/>
                          </w:tcPr>
                          <w:p w14:paraId="0FC6238C" w14:textId="77777777" w:rsidR="0088742D" w:rsidRPr="00195E3C" w:rsidRDefault="0088742D" w:rsidP="0088742D">
                            <w:pPr>
                              <w:pStyle w:val="ListParagraph"/>
                              <w:ind w:left="0"/>
                              <w:cnfStyle w:val="000000000000" w:firstRow="0" w:lastRow="0" w:firstColumn="0" w:lastColumn="0" w:oddVBand="0" w:evenVBand="0" w:oddHBand="0" w:evenHBand="0" w:firstRowFirstColumn="0" w:firstRowLastColumn="0" w:lastRowFirstColumn="0" w:lastRowLastColumn="0"/>
                              <w:rPr>
                                <w:sz w:val="18"/>
                                <w:szCs w:val="20"/>
                              </w:rPr>
                            </w:pPr>
                            <w:r w:rsidRPr="00195E3C">
                              <w:rPr>
                                <w:sz w:val="18"/>
                                <w:szCs w:val="20"/>
                              </w:rPr>
                              <w:t xml:space="preserve">Currently Trusts are adopting a varied approach. For example, some are employing the PREVENT </w:t>
                            </w:r>
                            <w:proofErr w:type="gramStart"/>
                            <w:r w:rsidRPr="00195E3C">
                              <w:rPr>
                                <w:sz w:val="18"/>
                                <w:szCs w:val="20"/>
                              </w:rPr>
                              <w:t>checklis</w:t>
                            </w:r>
                            <w:r w:rsidRPr="00A040C2">
                              <w:rPr>
                                <w:sz w:val="18"/>
                                <w:szCs w:val="20"/>
                              </w:rPr>
                              <w:t xml:space="preserve">t, </w:t>
                            </w:r>
                            <w:r>
                              <w:rPr>
                                <w:sz w:val="18"/>
                                <w:szCs w:val="20"/>
                              </w:rPr>
                              <w:t xml:space="preserve"> and</w:t>
                            </w:r>
                            <w:proofErr w:type="gramEnd"/>
                            <w:r w:rsidRPr="00195E3C">
                              <w:rPr>
                                <w:sz w:val="18"/>
                                <w:szCs w:val="20"/>
                              </w:rPr>
                              <w:t xml:space="preserve"> others referring from specific wards. Recent consensus work </w:t>
                            </w:r>
                            <w:r>
                              <w:rPr>
                                <w:sz w:val="18"/>
                                <w:szCs w:val="20"/>
                              </w:rPr>
                              <w:t xml:space="preserve">undertaken nationally </w:t>
                            </w:r>
                            <w:r w:rsidRPr="00195E3C">
                              <w:rPr>
                                <w:sz w:val="18"/>
                                <w:szCs w:val="20"/>
                              </w:rPr>
                              <w:t>indicates that the top referral criteria sho</w:t>
                            </w:r>
                            <w:r>
                              <w:rPr>
                                <w:sz w:val="18"/>
                                <w:szCs w:val="20"/>
                              </w:rPr>
                              <w:t xml:space="preserve">uld </w:t>
                            </w:r>
                            <w:proofErr w:type="gramStart"/>
                            <w:r>
                              <w:rPr>
                                <w:sz w:val="18"/>
                                <w:szCs w:val="20"/>
                              </w:rPr>
                              <w:t>include:</w:t>
                            </w:r>
                            <w:proofErr w:type="gramEnd"/>
                            <w:r>
                              <w:rPr>
                                <w:sz w:val="18"/>
                                <w:szCs w:val="20"/>
                              </w:rPr>
                              <w:t xml:space="preserve"> high risk drugs, recently changed medication and new medication on discharge</w:t>
                            </w:r>
                            <w:r w:rsidRPr="00195E3C">
                              <w:rPr>
                                <w:sz w:val="18"/>
                                <w:szCs w:val="20"/>
                              </w:rPr>
                              <w:t xml:space="preserve">. </w:t>
                            </w:r>
                            <w:r>
                              <w:rPr>
                                <w:sz w:val="18"/>
                                <w:szCs w:val="20"/>
                              </w:rPr>
                              <w:t xml:space="preserve"> Refer to section </w:t>
                            </w:r>
                            <w:r w:rsidRPr="00C2519E">
                              <w:rPr>
                                <w:b/>
                                <w:sz w:val="18"/>
                                <w:szCs w:val="20"/>
                              </w:rPr>
                              <w:t>4.3</w:t>
                            </w:r>
                            <w:r>
                              <w:rPr>
                                <w:sz w:val="18"/>
                                <w:szCs w:val="20"/>
                              </w:rPr>
                              <w:t xml:space="preserve"> </w:t>
                            </w:r>
                            <w:r w:rsidRPr="00195E3C">
                              <w:rPr>
                                <w:sz w:val="18"/>
                                <w:szCs w:val="20"/>
                              </w:rPr>
                              <w:t xml:space="preserve">for </w:t>
                            </w:r>
                            <w:r>
                              <w:rPr>
                                <w:sz w:val="18"/>
                                <w:szCs w:val="20"/>
                              </w:rPr>
                              <w:t xml:space="preserve">more </w:t>
                            </w:r>
                            <w:r w:rsidRPr="00195E3C">
                              <w:rPr>
                                <w:sz w:val="18"/>
                                <w:szCs w:val="20"/>
                              </w:rPr>
                              <w:t>detail.</w:t>
                            </w:r>
                          </w:p>
                        </w:tc>
                      </w:tr>
                      <w:tr w:rsidR="0088742D" w:rsidRPr="00195E3C" w14:paraId="1250507A" w14:textId="77777777" w:rsidTr="008874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40CB60CC" w14:textId="77777777" w:rsidR="0088742D" w:rsidRPr="00195E3C" w:rsidRDefault="0088742D" w:rsidP="0088742D">
                            <w:pPr>
                              <w:pStyle w:val="ListParagraph"/>
                              <w:ind w:left="0"/>
                              <w:rPr>
                                <w:sz w:val="18"/>
                                <w:szCs w:val="20"/>
                              </w:rPr>
                            </w:pPr>
                            <w:r w:rsidRPr="00195E3C">
                              <w:rPr>
                                <w:sz w:val="18"/>
                                <w:szCs w:val="20"/>
                              </w:rPr>
                              <w:t>Determine the information to be provided to patients</w:t>
                            </w:r>
                          </w:p>
                        </w:tc>
                        <w:tc>
                          <w:tcPr>
                            <w:tcW w:w="9780" w:type="dxa"/>
                          </w:tcPr>
                          <w:p w14:paraId="554D5204" w14:textId="77777777" w:rsidR="0088742D" w:rsidRPr="00195E3C" w:rsidRDefault="0088742D" w:rsidP="0088742D">
                            <w:pPr>
                              <w:pStyle w:val="ListParagraph"/>
                              <w:ind w:left="0"/>
                              <w:cnfStyle w:val="000000100000" w:firstRow="0" w:lastRow="0" w:firstColumn="0" w:lastColumn="0" w:oddVBand="0" w:evenVBand="0" w:oddHBand="1" w:evenHBand="0" w:firstRowFirstColumn="0" w:firstRowLastColumn="0" w:lastRowFirstColumn="0" w:lastRowLastColumn="0"/>
                              <w:rPr>
                                <w:sz w:val="18"/>
                                <w:szCs w:val="20"/>
                              </w:rPr>
                            </w:pPr>
                            <w:r>
                              <w:rPr>
                                <w:sz w:val="18"/>
                                <w:szCs w:val="20"/>
                              </w:rPr>
                              <w:t xml:space="preserve">Examples of leaflets used by Trusts across UCLPartners geography can be found on the UCLP TCAM webpage. The Wessex AHSN Mo video has proven successful across numerous sites as an effective format to inform patients of the potential care that can be provided through clinical handover initiatives – also linked on the UCLPartners TCAM webpage. </w:t>
                            </w:r>
                          </w:p>
                        </w:tc>
                      </w:tr>
                      <w:tr w:rsidR="0088742D" w:rsidRPr="00195E3C" w14:paraId="36C239F9" w14:textId="77777777" w:rsidTr="0088742D">
                        <w:tc>
                          <w:tcPr>
                            <w:cnfStyle w:val="001000000000" w:firstRow="0" w:lastRow="0" w:firstColumn="1" w:lastColumn="0" w:oddVBand="0" w:evenVBand="0" w:oddHBand="0" w:evenHBand="0" w:firstRowFirstColumn="0" w:firstRowLastColumn="0" w:lastRowFirstColumn="0" w:lastRowLastColumn="0"/>
                            <w:tcW w:w="3936" w:type="dxa"/>
                          </w:tcPr>
                          <w:p w14:paraId="2E2C16D0" w14:textId="77777777" w:rsidR="0088742D" w:rsidRPr="00195E3C" w:rsidRDefault="0088742D" w:rsidP="0088742D">
                            <w:pPr>
                              <w:pStyle w:val="ListParagraph"/>
                              <w:ind w:left="0"/>
                              <w:rPr>
                                <w:sz w:val="18"/>
                                <w:szCs w:val="20"/>
                              </w:rPr>
                            </w:pPr>
                            <w:r w:rsidRPr="00195E3C">
                              <w:rPr>
                                <w:sz w:val="18"/>
                                <w:szCs w:val="20"/>
                              </w:rPr>
                              <w:t xml:space="preserve">Determine the </w:t>
                            </w:r>
                            <w:proofErr w:type="gramStart"/>
                            <w:r w:rsidRPr="00195E3C">
                              <w:rPr>
                                <w:sz w:val="18"/>
                                <w:szCs w:val="20"/>
                              </w:rPr>
                              <w:t>information  that</w:t>
                            </w:r>
                            <w:proofErr w:type="gramEnd"/>
                            <w:r w:rsidRPr="00195E3C">
                              <w:rPr>
                                <w:sz w:val="18"/>
                                <w:szCs w:val="20"/>
                              </w:rPr>
                              <w:t xml:space="preserve"> the Trust would </w:t>
                            </w:r>
                            <w:r>
                              <w:rPr>
                                <w:sz w:val="18"/>
                                <w:szCs w:val="20"/>
                              </w:rPr>
                              <w:t xml:space="preserve">            </w:t>
                            </w:r>
                            <w:r w:rsidRPr="00195E3C">
                              <w:rPr>
                                <w:sz w:val="18"/>
                                <w:szCs w:val="20"/>
                              </w:rPr>
                              <w:t>like to send to the community pharmacy</w:t>
                            </w:r>
                          </w:p>
                        </w:tc>
                        <w:tc>
                          <w:tcPr>
                            <w:tcW w:w="9780" w:type="dxa"/>
                          </w:tcPr>
                          <w:p w14:paraId="6C73EFC5" w14:textId="77777777" w:rsidR="0088742D" w:rsidRPr="00195E3C" w:rsidRDefault="0088742D" w:rsidP="0088742D">
                            <w:pPr>
                              <w:pStyle w:val="ListParagraph"/>
                              <w:ind w:left="0"/>
                              <w:cnfStyle w:val="000000000000" w:firstRow="0" w:lastRow="0" w:firstColumn="0" w:lastColumn="0" w:oddVBand="0" w:evenVBand="0" w:oddHBand="0" w:evenHBand="0" w:firstRowFirstColumn="0" w:firstRowLastColumn="0" w:lastRowFirstColumn="0" w:lastRowLastColumn="0"/>
                              <w:rPr>
                                <w:sz w:val="18"/>
                                <w:szCs w:val="20"/>
                              </w:rPr>
                            </w:pPr>
                            <w:r w:rsidRPr="00195E3C">
                              <w:rPr>
                                <w:sz w:val="18"/>
                                <w:szCs w:val="20"/>
                              </w:rPr>
                              <w:t xml:space="preserve">The RPS recommends core content of records for medicines when patients transfer between care providers, which can inform information that is shared. </w:t>
                            </w:r>
                          </w:p>
                        </w:tc>
                      </w:tr>
                      <w:tr w:rsidR="0088742D" w:rsidRPr="00195E3C" w14:paraId="582D1C1C" w14:textId="77777777" w:rsidTr="008874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5436E464" w14:textId="77777777" w:rsidR="0088742D" w:rsidRPr="00195E3C" w:rsidRDefault="0088742D" w:rsidP="0088742D">
                            <w:pPr>
                              <w:pStyle w:val="ListParagraph"/>
                              <w:ind w:left="0"/>
                              <w:rPr>
                                <w:sz w:val="18"/>
                                <w:szCs w:val="20"/>
                              </w:rPr>
                            </w:pPr>
                            <w:r w:rsidRPr="00195E3C">
                              <w:rPr>
                                <w:sz w:val="18"/>
                                <w:szCs w:val="20"/>
                              </w:rPr>
                              <w:t>Determine the IT requirements and agree a timescale for implementation and sign off</w:t>
                            </w:r>
                          </w:p>
                        </w:tc>
                        <w:tc>
                          <w:tcPr>
                            <w:tcW w:w="9780" w:type="dxa"/>
                          </w:tcPr>
                          <w:p w14:paraId="58E4AF7C" w14:textId="77777777" w:rsidR="0088742D" w:rsidRPr="00195E3C" w:rsidRDefault="0088742D" w:rsidP="0088742D">
                            <w:pPr>
                              <w:pStyle w:val="ListParagraph"/>
                              <w:ind w:left="0"/>
                              <w:cnfStyle w:val="000000100000" w:firstRow="0" w:lastRow="0" w:firstColumn="0" w:lastColumn="0" w:oddVBand="0" w:evenVBand="0" w:oddHBand="1" w:evenHBand="0" w:firstRowFirstColumn="0" w:firstRowLastColumn="0" w:lastRowFirstColumn="0" w:lastRowLastColumn="0"/>
                              <w:rPr>
                                <w:sz w:val="18"/>
                                <w:szCs w:val="20"/>
                              </w:rPr>
                            </w:pPr>
                            <w:r w:rsidRPr="00195E3C">
                              <w:rPr>
                                <w:sz w:val="18"/>
                                <w:szCs w:val="20"/>
                              </w:rPr>
                              <w:t xml:space="preserve">The RPS innovators toolkit: </w:t>
                            </w:r>
                            <w:r w:rsidRPr="00195E3C">
                              <w:rPr>
                                <w:i/>
                                <w:sz w:val="18"/>
                                <w:szCs w:val="20"/>
                              </w:rPr>
                              <w:t xml:space="preserve">Hospital referral to community pharmacy </w:t>
                            </w:r>
                            <w:r>
                              <w:rPr>
                                <w:sz w:val="18"/>
                                <w:szCs w:val="20"/>
                              </w:rPr>
                              <w:t>[</w:t>
                            </w:r>
                            <w:r w:rsidRPr="00C41D73">
                              <w:rPr>
                                <w:sz w:val="18"/>
                                <w:szCs w:val="20"/>
                              </w:rPr>
                              <w:t>PART 2: MAKING IT HAPPEN</w:t>
                            </w:r>
                            <w:r w:rsidRPr="00195E3C">
                              <w:rPr>
                                <w:sz w:val="18"/>
                                <w:szCs w:val="20"/>
                              </w:rPr>
                              <w:t xml:space="preserve"> describe</w:t>
                            </w:r>
                            <w:r>
                              <w:rPr>
                                <w:sz w:val="18"/>
                                <w:szCs w:val="20"/>
                              </w:rPr>
                              <w:t>s</w:t>
                            </w:r>
                            <w:r w:rsidRPr="00195E3C">
                              <w:rPr>
                                <w:sz w:val="18"/>
                                <w:szCs w:val="20"/>
                              </w:rPr>
                              <w:t xml:space="preserve"> some basic requirements of an e-referral system. PharmOutcomes® (Pinnacle) and Refer-to-Pharmacy (Webstar) are two systems that offer full electronic integration. </w:t>
                            </w:r>
                            <w:r>
                              <w:rPr>
                                <w:sz w:val="18"/>
                                <w:szCs w:val="20"/>
                              </w:rPr>
                              <w:t>Feedback from established implementers recommend engagement with platform designers is crucial to ensure the interface and delivery is fit for purpose and appropriate for data capture and recording.</w:t>
                            </w:r>
                          </w:p>
                        </w:tc>
                      </w:tr>
                      <w:tr w:rsidR="0088742D" w:rsidRPr="00195E3C" w14:paraId="6CF64400" w14:textId="77777777" w:rsidTr="0088742D">
                        <w:tc>
                          <w:tcPr>
                            <w:cnfStyle w:val="001000000000" w:firstRow="0" w:lastRow="0" w:firstColumn="1" w:lastColumn="0" w:oddVBand="0" w:evenVBand="0" w:oddHBand="0" w:evenHBand="0" w:firstRowFirstColumn="0" w:firstRowLastColumn="0" w:lastRowFirstColumn="0" w:lastRowLastColumn="0"/>
                            <w:tcW w:w="3936" w:type="dxa"/>
                          </w:tcPr>
                          <w:p w14:paraId="559C45DF" w14:textId="77777777" w:rsidR="0088742D" w:rsidRPr="00195E3C" w:rsidRDefault="0088742D" w:rsidP="0088742D">
                            <w:pPr>
                              <w:pStyle w:val="ListParagraph"/>
                              <w:ind w:left="0"/>
                              <w:rPr>
                                <w:sz w:val="18"/>
                                <w:szCs w:val="20"/>
                              </w:rPr>
                            </w:pPr>
                            <w:r w:rsidRPr="00195E3C">
                              <w:rPr>
                                <w:sz w:val="18"/>
                                <w:szCs w:val="20"/>
                              </w:rPr>
                              <w:t>Determine the information governance requirements and agree a timescale for clarification and sign-off</w:t>
                            </w:r>
                          </w:p>
                        </w:tc>
                        <w:tc>
                          <w:tcPr>
                            <w:tcW w:w="9780" w:type="dxa"/>
                          </w:tcPr>
                          <w:p w14:paraId="673164D6" w14:textId="77777777" w:rsidR="0088742D" w:rsidRPr="00195E3C" w:rsidRDefault="0088742D" w:rsidP="0088742D">
                            <w:pPr>
                              <w:pStyle w:val="ListParagraph"/>
                              <w:ind w:left="0"/>
                              <w:cnfStyle w:val="000000000000" w:firstRow="0" w:lastRow="0" w:firstColumn="0" w:lastColumn="0" w:oddVBand="0" w:evenVBand="0" w:oddHBand="0" w:evenHBand="0" w:firstRowFirstColumn="0" w:firstRowLastColumn="0" w:lastRowFirstColumn="0" w:lastRowLastColumn="0"/>
                              <w:rPr>
                                <w:sz w:val="18"/>
                                <w:szCs w:val="20"/>
                              </w:rPr>
                            </w:pPr>
                            <w:r w:rsidRPr="00195E3C">
                              <w:rPr>
                                <w:sz w:val="18"/>
                                <w:szCs w:val="20"/>
                              </w:rPr>
                              <w:t>There are information governance requirements around the sharing of information and consent which need to be considered locally and specific to the IT solution adopted. A Privacy Impact Assessment may be needed. Early engagement with Trust I</w:t>
                            </w:r>
                            <w:r>
                              <w:rPr>
                                <w:sz w:val="18"/>
                                <w:szCs w:val="20"/>
                              </w:rPr>
                              <w:t xml:space="preserve">nformation </w:t>
                            </w:r>
                            <w:r w:rsidRPr="00195E3C">
                              <w:rPr>
                                <w:sz w:val="18"/>
                                <w:szCs w:val="20"/>
                              </w:rPr>
                              <w:t>G</w:t>
                            </w:r>
                            <w:r>
                              <w:rPr>
                                <w:sz w:val="18"/>
                                <w:szCs w:val="20"/>
                              </w:rPr>
                              <w:t>overnance</w:t>
                            </w:r>
                            <w:r w:rsidRPr="00195E3C">
                              <w:rPr>
                                <w:sz w:val="18"/>
                                <w:szCs w:val="20"/>
                              </w:rPr>
                              <w:t xml:space="preserve"> lead</w:t>
                            </w:r>
                            <w:r>
                              <w:rPr>
                                <w:sz w:val="18"/>
                                <w:szCs w:val="20"/>
                              </w:rPr>
                              <w:t xml:space="preserve"> is required to work through potential barriers and challenges.</w:t>
                            </w:r>
                          </w:p>
                        </w:tc>
                      </w:tr>
                      <w:tr w:rsidR="0088742D" w:rsidRPr="00195E3C" w14:paraId="7F113D57" w14:textId="77777777" w:rsidTr="008874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3E9BA12C" w14:textId="77777777" w:rsidR="0088742D" w:rsidRPr="00195E3C" w:rsidRDefault="0088742D" w:rsidP="0088742D">
                            <w:pPr>
                              <w:pStyle w:val="ListParagraph"/>
                              <w:ind w:left="0"/>
                              <w:rPr>
                                <w:sz w:val="18"/>
                                <w:szCs w:val="20"/>
                              </w:rPr>
                            </w:pPr>
                            <w:r w:rsidRPr="00195E3C">
                              <w:rPr>
                                <w:sz w:val="18"/>
                                <w:szCs w:val="20"/>
                              </w:rPr>
                              <w:t xml:space="preserve">Develop a standard operating procedure </w:t>
                            </w:r>
                            <w:r>
                              <w:rPr>
                                <w:sz w:val="18"/>
                                <w:szCs w:val="20"/>
                              </w:rPr>
                              <w:t xml:space="preserve">(SOP) </w:t>
                            </w:r>
                            <w:r w:rsidRPr="00195E3C">
                              <w:rPr>
                                <w:sz w:val="18"/>
                                <w:szCs w:val="20"/>
                              </w:rPr>
                              <w:t>and the behaviour changes required</w:t>
                            </w:r>
                          </w:p>
                        </w:tc>
                        <w:tc>
                          <w:tcPr>
                            <w:tcW w:w="9780" w:type="dxa"/>
                          </w:tcPr>
                          <w:p w14:paraId="7382E17C" w14:textId="77777777" w:rsidR="0088742D" w:rsidRPr="00195E3C" w:rsidRDefault="0088742D" w:rsidP="0088742D">
                            <w:pPr>
                              <w:pStyle w:val="ListParagraph"/>
                              <w:ind w:left="0"/>
                              <w:cnfStyle w:val="000000100000" w:firstRow="0" w:lastRow="0" w:firstColumn="0" w:lastColumn="0" w:oddVBand="0" w:evenVBand="0" w:oddHBand="1" w:evenHBand="0" w:firstRowFirstColumn="0" w:firstRowLastColumn="0" w:lastRowFirstColumn="0" w:lastRowLastColumn="0"/>
                              <w:rPr>
                                <w:sz w:val="18"/>
                                <w:szCs w:val="20"/>
                              </w:rPr>
                            </w:pPr>
                            <w:r w:rsidRPr="00195E3C">
                              <w:rPr>
                                <w:sz w:val="18"/>
                                <w:szCs w:val="20"/>
                              </w:rPr>
                              <w:t>Local requirements, existing processes and local information governance and consent practice will be incorporated into the developed SOP.</w:t>
                            </w:r>
                            <w:r>
                              <w:rPr>
                                <w:sz w:val="18"/>
                                <w:szCs w:val="20"/>
                              </w:rPr>
                              <w:t xml:space="preserve"> An example SOP for community pharmacists is available at </w:t>
                            </w:r>
                            <w:hyperlink r:id="rId15" w:history="1">
                              <w:r w:rsidRPr="00775824">
                                <w:rPr>
                                  <w:rStyle w:val="Hyperlink"/>
                                  <w:sz w:val="18"/>
                                  <w:szCs w:val="20"/>
                                </w:rPr>
                                <w:t>https://psnc.org.uk/331753-tcam-sop-template/</w:t>
                              </w:r>
                            </w:hyperlink>
                            <w:r>
                              <w:rPr>
                                <w:sz w:val="18"/>
                                <w:szCs w:val="20"/>
                              </w:rPr>
                              <w:t xml:space="preserve"> </w:t>
                            </w:r>
                          </w:p>
                        </w:tc>
                      </w:tr>
                      <w:tr w:rsidR="0088742D" w:rsidRPr="00195E3C" w14:paraId="0C5D4E27" w14:textId="77777777" w:rsidTr="0088742D">
                        <w:tc>
                          <w:tcPr>
                            <w:cnfStyle w:val="001000000000" w:firstRow="0" w:lastRow="0" w:firstColumn="1" w:lastColumn="0" w:oddVBand="0" w:evenVBand="0" w:oddHBand="0" w:evenHBand="0" w:firstRowFirstColumn="0" w:firstRowLastColumn="0" w:lastRowFirstColumn="0" w:lastRowLastColumn="0"/>
                            <w:tcW w:w="3936" w:type="dxa"/>
                          </w:tcPr>
                          <w:p w14:paraId="536B3701" w14:textId="77777777" w:rsidR="0088742D" w:rsidRPr="00195E3C" w:rsidRDefault="0088742D" w:rsidP="0088742D">
                            <w:pPr>
                              <w:pStyle w:val="ListParagraph"/>
                              <w:ind w:left="0"/>
                              <w:rPr>
                                <w:sz w:val="18"/>
                                <w:szCs w:val="20"/>
                              </w:rPr>
                            </w:pPr>
                            <w:r w:rsidRPr="00195E3C">
                              <w:rPr>
                                <w:sz w:val="18"/>
                                <w:szCs w:val="20"/>
                              </w:rPr>
                              <w:t>Develop and test message transport processes</w:t>
                            </w:r>
                          </w:p>
                        </w:tc>
                        <w:tc>
                          <w:tcPr>
                            <w:tcW w:w="9780" w:type="dxa"/>
                          </w:tcPr>
                          <w:p w14:paraId="5329F9B4" w14:textId="77777777" w:rsidR="0088742D" w:rsidRPr="00195E3C" w:rsidRDefault="0088742D" w:rsidP="0088742D">
                            <w:pPr>
                              <w:pStyle w:val="ListParagraph"/>
                              <w:ind w:left="0"/>
                              <w:cnfStyle w:val="000000000000" w:firstRow="0" w:lastRow="0" w:firstColumn="0" w:lastColumn="0" w:oddVBand="0" w:evenVBand="0" w:oddHBand="0" w:evenHBand="0" w:firstRowFirstColumn="0" w:firstRowLastColumn="0" w:lastRowFirstColumn="0" w:lastRowLastColumn="0"/>
                              <w:rPr>
                                <w:sz w:val="18"/>
                                <w:szCs w:val="20"/>
                              </w:rPr>
                            </w:pPr>
                            <w:r w:rsidRPr="00195E3C">
                              <w:rPr>
                                <w:sz w:val="18"/>
                                <w:szCs w:val="20"/>
                              </w:rPr>
                              <w:t>To test feasibility and usability.</w:t>
                            </w:r>
                            <w:r>
                              <w:rPr>
                                <w:sz w:val="18"/>
                                <w:szCs w:val="20"/>
                              </w:rPr>
                              <w:t xml:space="preserve"> Check for the potential for a ‘push’ message to community pharmacy to increase completion of the handover and engagement with the patient in primary care. If using Pharmoutcomes, the System supplier Pinnacle will assist with this and have test systems to use.</w:t>
                            </w:r>
                          </w:p>
                        </w:tc>
                      </w:tr>
                      <w:tr w:rsidR="0088742D" w:rsidRPr="00195E3C" w14:paraId="459B7CC5" w14:textId="77777777" w:rsidTr="008874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728BE6E3" w14:textId="77777777" w:rsidR="0088742D" w:rsidRPr="00195E3C" w:rsidRDefault="0088742D" w:rsidP="0088742D">
                            <w:pPr>
                              <w:pStyle w:val="ListParagraph"/>
                              <w:ind w:left="0"/>
                              <w:rPr>
                                <w:sz w:val="18"/>
                                <w:szCs w:val="20"/>
                              </w:rPr>
                            </w:pPr>
                            <w:r w:rsidRPr="00195E3C">
                              <w:rPr>
                                <w:sz w:val="18"/>
                                <w:szCs w:val="20"/>
                              </w:rPr>
                              <w:t>Review AHSN research proposals and gain sign off locally</w:t>
                            </w:r>
                          </w:p>
                        </w:tc>
                        <w:tc>
                          <w:tcPr>
                            <w:tcW w:w="9780" w:type="dxa"/>
                          </w:tcPr>
                          <w:p w14:paraId="7C257F8F" w14:textId="77777777" w:rsidR="0088742D" w:rsidRPr="00195E3C" w:rsidRDefault="0088742D" w:rsidP="0088742D">
                            <w:pPr>
                              <w:pStyle w:val="ListParagraph"/>
                              <w:ind w:left="0"/>
                              <w:cnfStyle w:val="000000100000" w:firstRow="0" w:lastRow="0" w:firstColumn="0" w:lastColumn="0" w:oddVBand="0" w:evenVBand="0" w:oddHBand="1" w:evenHBand="0" w:firstRowFirstColumn="0" w:firstRowLastColumn="0" w:lastRowFirstColumn="0" w:lastRowLastColumn="0"/>
                              <w:rPr>
                                <w:sz w:val="18"/>
                                <w:szCs w:val="20"/>
                              </w:rPr>
                            </w:pPr>
                            <w:r w:rsidRPr="00195E3C">
                              <w:rPr>
                                <w:sz w:val="18"/>
                                <w:szCs w:val="20"/>
                              </w:rPr>
                              <w:t>There should be an aim to evaluate the benefits of transferring data to community pharmacy as part of the clinical handover.</w:t>
                            </w:r>
                          </w:p>
                        </w:tc>
                      </w:tr>
                      <w:tr w:rsidR="0088742D" w:rsidRPr="00195E3C" w14:paraId="1FF3BC41" w14:textId="77777777" w:rsidTr="0088742D">
                        <w:tc>
                          <w:tcPr>
                            <w:cnfStyle w:val="001000000000" w:firstRow="0" w:lastRow="0" w:firstColumn="1" w:lastColumn="0" w:oddVBand="0" w:evenVBand="0" w:oddHBand="0" w:evenHBand="0" w:firstRowFirstColumn="0" w:firstRowLastColumn="0" w:lastRowFirstColumn="0" w:lastRowLastColumn="0"/>
                            <w:tcW w:w="3936" w:type="dxa"/>
                          </w:tcPr>
                          <w:p w14:paraId="790E7A17" w14:textId="77777777" w:rsidR="0088742D" w:rsidRPr="00195E3C" w:rsidRDefault="0088742D" w:rsidP="0088742D">
                            <w:pPr>
                              <w:pStyle w:val="ListParagraph"/>
                              <w:ind w:left="0"/>
                              <w:rPr>
                                <w:sz w:val="18"/>
                                <w:szCs w:val="20"/>
                              </w:rPr>
                            </w:pPr>
                            <w:r w:rsidRPr="00195E3C">
                              <w:rPr>
                                <w:sz w:val="18"/>
                                <w:szCs w:val="20"/>
                              </w:rPr>
                              <w:t>Train staff</w:t>
                            </w:r>
                          </w:p>
                        </w:tc>
                        <w:tc>
                          <w:tcPr>
                            <w:tcW w:w="9780" w:type="dxa"/>
                          </w:tcPr>
                          <w:p w14:paraId="3B6EAD1B" w14:textId="77777777" w:rsidR="0088742D" w:rsidRPr="00195E3C" w:rsidRDefault="0088742D" w:rsidP="0088742D">
                            <w:pPr>
                              <w:pStyle w:val="ListParagraph"/>
                              <w:ind w:left="0"/>
                              <w:cnfStyle w:val="000000000000" w:firstRow="0" w:lastRow="0" w:firstColumn="0" w:lastColumn="0" w:oddVBand="0" w:evenVBand="0" w:oddHBand="0" w:evenHBand="0" w:firstRowFirstColumn="0" w:firstRowLastColumn="0" w:lastRowFirstColumn="0" w:lastRowLastColumn="0"/>
                              <w:rPr>
                                <w:sz w:val="18"/>
                                <w:szCs w:val="20"/>
                              </w:rPr>
                            </w:pPr>
                            <w:r w:rsidRPr="00195E3C">
                              <w:rPr>
                                <w:sz w:val="18"/>
                                <w:szCs w:val="20"/>
                              </w:rPr>
                              <w:t>Develop and deliver appropriate training.</w:t>
                            </w:r>
                          </w:p>
                        </w:tc>
                      </w:tr>
                      <w:tr w:rsidR="0088742D" w:rsidRPr="00195E3C" w14:paraId="64299E5A" w14:textId="77777777" w:rsidTr="008874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6489BC1D" w14:textId="77777777" w:rsidR="0088742D" w:rsidRPr="00195E3C" w:rsidRDefault="0088742D" w:rsidP="0088742D">
                            <w:pPr>
                              <w:pStyle w:val="ListParagraph"/>
                              <w:ind w:left="0"/>
                              <w:rPr>
                                <w:sz w:val="18"/>
                                <w:szCs w:val="20"/>
                              </w:rPr>
                            </w:pPr>
                            <w:r w:rsidRPr="00195E3C">
                              <w:rPr>
                                <w:sz w:val="18"/>
                                <w:szCs w:val="20"/>
                              </w:rPr>
                              <w:t>Communicate with and train community pharmacists</w:t>
                            </w:r>
                          </w:p>
                        </w:tc>
                        <w:tc>
                          <w:tcPr>
                            <w:tcW w:w="9780" w:type="dxa"/>
                          </w:tcPr>
                          <w:p w14:paraId="13028EB6" w14:textId="77777777" w:rsidR="0088742D" w:rsidRPr="00195E3C" w:rsidRDefault="0088742D" w:rsidP="0088742D">
                            <w:pPr>
                              <w:pStyle w:val="ListParagraph"/>
                              <w:ind w:left="0"/>
                              <w:cnfStyle w:val="000000100000" w:firstRow="0" w:lastRow="0" w:firstColumn="0" w:lastColumn="0" w:oddVBand="0" w:evenVBand="0" w:oddHBand="1" w:evenHBand="0" w:firstRowFirstColumn="0" w:firstRowLastColumn="0" w:lastRowFirstColumn="0" w:lastRowLastColumn="0"/>
                              <w:rPr>
                                <w:sz w:val="18"/>
                                <w:szCs w:val="20"/>
                              </w:rPr>
                            </w:pPr>
                            <w:r w:rsidRPr="00195E3C">
                              <w:rPr>
                                <w:sz w:val="18"/>
                                <w:szCs w:val="20"/>
                              </w:rPr>
                              <w:t xml:space="preserve">Develop and deliver appropriate communication and training. The RPS innovator’s toolkit: </w:t>
                            </w:r>
                            <w:r w:rsidRPr="00195E3C">
                              <w:rPr>
                                <w:i/>
                                <w:sz w:val="18"/>
                                <w:szCs w:val="20"/>
                              </w:rPr>
                              <w:t>Hospital referral to community pharmacy</w:t>
                            </w:r>
                            <w:r w:rsidRPr="00A135B5">
                              <w:rPr>
                                <w:i/>
                                <w:sz w:val="18"/>
                                <w:szCs w:val="20"/>
                                <w:vertAlign w:val="superscript"/>
                              </w:rPr>
                              <w:fldChar w:fldCharType="begin"/>
                            </w:r>
                            <w:r w:rsidRPr="00A135B5">
                              <w:rPr>
                                <w:i/>
                                <w:sz w:val="18"/>
                                <w:szCs w:val="20"/>
                                <w:vertAlign w:val="superscript"/>
                              </w:rPr>
                              <w:instrText xml:space="preserve"> NOTEREF _Ref38363128 \h </w:instrText>
                            </w:r>
                            <w:r w:rsidRPr="00A135B5">
                              <w:rPr>
                                <w:i/>
                                <w:sz w:val="18"/>
                                <w:szCs w:val="20"/>
                                <w:vertAlign w:val="superscript"/>
                              </w:rPr>
                            </w:r>
                            <w:r>
                              <w:rPr>
                                <w:i/>
                                <w:sz w:val="18"/>
                                <w:szCs w:val="20"/>
                                <w:vertAlign w:val="superscript"/>
                              </w:rPr>
                              <w:instrText xml:space="preserve"> \* MERGEFORMAT </w:instrText>
                            </w:r>
                            <w:r w:rsidRPr="00A135B5">
                              <w:rPr>
                                <w:i/>
                                <w:sz w:val="18"/>
                                <w:szCs w:val="20"/>
                                <w:vertAlign w:val="superscript"/>
                              </w:rPr>
                              <w:fldChar w:fldCharType="separate"/>
                            </w:r>
                            <w:r w:rsidRPr="00A135B5">
                              <w:rPr>
                                <w:i/>
                                <w:sz w:val="18"/>
                                <w:szCs w:val="20"/>
                                <w:vertAlign w:val="superscript"/>
                              </w:rPr>
                              <w:t>8</w:t>
                            </w:r>
                            <w:r w:rsidRPr="00A135B5">
                              <w:rPr>
                                <w:i/>
                                <w:sz w:val="18"/>
                                <w:szCs w:val="20"/>
                                <w:vertAlign w:val="superscript"/>
                              </w:rPr>
                              <w:fldChar w:fldCharType="end"/>
                            </w:r>
                            <w:r w:rsidRPr="00195E3C">
                              <w:rPr>
                                <w:sz w:val="18"/>
                                <w:szCs w:val="20"/>
                              </w:rPr>
                              <w:t xml:space="preserve"> includes some aspects of a communication and dissemination plan.</w:t>
                            </w:r>
                          </w:p>
                        </w:tc>
                      </w:tr>
                    </w:tbl>
                    <w:p w14:paraId="2BACD26A" w14:textId="77777777" w:rsidR="0088742D" w:rsidRPr="00D31C2C" w:rsidRDefault="0088742D" w:rsidP="0088742D">
                      <w:pPr>
                        <w:pStyle w:val="ListParagraph"/>
                        <w:ind w:left="0"/>
                        <w:rPr>
                          <w:sz w:val="20"/>
                          <w:szCs w:val="20"/>
                        </w:rPr>
                      </w:pPr>
                      <w:r>
                        <w:rPr>
                          <w:sz w:val="20"/>
                          <w:szCs w:val="20"/>
                        </w:rPr>
                        <w:t xml:space="preserve"> </w:t>
                      </w:r>
                    </w:p>
                    <w:p w14:paraId="2010FFAE" w14:textId="77777777" w:rsidR="0088742D" w:rsidRPr="00D31C2C" w:rsidRDefault="0088742D" w:rsidP="0088742D">
                      <w:pPr>
                        <w:pStyle w:val="ListParagraph"/>
                        <w:ind w:left="0"/>
                        <w:rPr>
                          <w:sz w:val="20"/>
                          <w:szCs w:val="20"/>
                        </w:rPr>
                      </w:pPr>
                    </w:p>
                    <w:p w14:paraId="472D8184" w14:textId="77777777" w:rsidR="0088742D" w:rsidRPr="00D31C2C" w:rsidRDefault="0088742D" w:rsidP="0088742D">
                      <w:pPr>
                        <w:pStyle w:val="ListParagraph"/>
                        <w:ind w:left="0"/>
                        <w:rPr>
                          <w:sz w:val="20"/>
                          <w:szCs w:val="20"/>
                        </w:rPr>
                      </w:pPr>
                    </w:p>
                  </w:txbxContent>
                </v:textbox>
              </v:shape>
            </w:pict>
          </mc:Fallback>
        </mc:AlternateContent>
      </w:r>
    </w:p>
    <w:p w14:paraId="1349ACBD" w14:textId="77777777" w:rsidR="0088742D" w:rsidRDefault="0088742D" w:rsidP="0088742D">
      <w:pPr>
        <w:pStyle w:val="ListParagraph"/>
        <w:ind w:left="0"/>
      </w:pPr>
    </w:p>
    <w:p w14:paraId="0C74892F" w14:textId="77777777" w:rsidR="0088742D" w:rsidRDefault="0088742D" w:rsidP="0088742D">
      <w:pPr>
        <w:pStyle w:val="ListParagraph"/>
        <w:ind w:left="0"/>
      </w:pPr>
    </w:p>
    <w:p w14:paraId="6DBF7E3A" w14:textId="77777777" w:rsidR="0088742D" w:rsidRDefault="0088742D" w:rsidP="0088742D">
      <w:pPr>
        <w:pStyle w:val="ListParagraph"/>
        <w:ind w:left="0"/>
      </w:pPr>
    </w:p>
    <w:p w14:paraId="665A7313" w14:textId="77777777" w:rsidR="0088742D" w:rsidRDefault="0088742D" w:rsidP="0088742D">
      <w:pPr>
        <w:pStyle w:val="ListParagraph"/>
        <w:ind w:left="0"/>
      </w:pPr>
    </w:p>
    <w:p w14:paraId="36FD916B" w14:textId="77777777" w:rsidR="0088742D" w:rsidRDefault="0088742D" w:rsidP="0088742D">
      <w:pPr>
        <w:pStyle w:val="ListParagraph"/>
        <w:ind w:left="0"/>
      </w:pPr>
    </w:p>
    <w:p w14:paraId="38C096D4" w14:textId="77777777" w:rsidR="0088742D" w:rsidRDefault="0088742D" w:rsidP="0088742D">
      <w:pPr>
        <w:pStyle w:val="ListParagraph"/>
        <w:ind w:left="0"/>
      </w:pPr>
    </w:p>
    <w:p w14:paraId="4F671E81" w14:textId="77777777" w:rsidR="0088742D" w:rsidRPr="0090386E" w:rsidRDefault="0088742D" w:rsidP="0088742D">
      <w:pPr>
        <w:pStyle w:val="ListParagraph"/>
        <w:ind w:left="0"/>
        <w:rPr>
          <w:vertAlign w:val="superscript"/>
        </w:rPr>
      </w:pPr>
      <w:r>
        <w:t xml:space="preserve">                                                                                                                                                                                                                                              </w:t>
      </w:r>
      <w:r w:rsidRPr="0090386E">
        <w:rPr>
          <w:vertAlign w:val="superscript"/>
        </w:rPr>
        <w:fldChar w:fldCharType="begin"/>
      </w:r>
      <w:r w:rsidRPr="0090386E">
        <w:rPr>
          <w:vertAlign w:val="superscript"/>
        </w:rPr>
        <w:instrText xml:space="preserve"> NOTEREF _Ref38363624 \h </w:instrText>
      </w:r>
      <w:r w:rsidRPr="0090386E">
        <w:rPr>
          <w:vertAlign w:val="superscript"/>
        </w:rPr>
      </w:r>
      <w:r>
        <w:rPr>
          <w:vertAlign w:val="superscript"/>
        </w:rPr>
        <w:instrText xml:space="preserve"> \* MERGEFORMAT </w:instrText>
      </w:r>
      <w:r w:rsidRPr="0090386E">
        <w:rPr>
          <w:vertAlign w:val="superscript"/>
        </w:rPr>
        <w:fldChar w:fldCharType="separate"/>
      </w:r>
      <w:r w:rsidRPr="0090386E">
        <w:rPr>
          <w:vertAlign w:val="superscript"/>
        </w:rPr>
        <w:t>6</w:t>
      </w:r>
      <w:r w:rsidRPr="0090386E">
        <w:rPr>
          <w:vertAlign w:val="superscript"/>
        </w:rPr>
        <w:fldChar w:fldCharType="end"/>
      </w:r>
    </w:p>
    <w:p w14:paraId="420A0C63" w14:textId="77777777" w:rsidR="0088742D" w:rsidRDefault="0088742D" w:rsidP="0088742D">
      <w:pPr>
        <w:pStyle w:val="ListParagraph"/>
        <w:ind w:left="0"/>
      </w:pPr>
    </w:p>
    <w:p w14:paraId="1689FD6C" w14:textId="77777777" w:rsidR="0088742D" w:rsidRDefault="0088742D" w:rsidP="0088742D">
      <w:pPr>
        <w:pStyle w:val="ListParagraph"/>
        <w:ind w:left="0"/>
      </w:pPr>
      <w:r>
        <w:t xml:space="preserve">                                                                                                                                                                                          </w:t>
      </w:r>
      <w:bookmarkStart w:id="10" w:name="_Ref38364310"/>
      <w:r>
        <w:rPr>
          <w:rStyle w:val="EndnoteReference"/>
        </w:rPr>
        <w:endnoteReference w:id="9"/>
      </w:r>
      <w:bookmarkEnd w:id="10"/>
    </w:p>
    <w:p w14:paraId="46CBC857" w14:textId="77777777" w:rsidR="0088742D" w:rsidRDefault="0088742D" w:rsidP="0088742D">
      <w:pPr>
        <w:pStyle w:val="ListParagraph"/>
        <w:ind w:left="0"/>
      </w:pPr>
      <w:r>
        <w:t xml:space="preserve">                                                                                                                                            </w:t>
      </w:r>
    </w:p>
    <w:p w14:paraId="12D17C9D" w14:textId="77777777" w:rsidR="0088742D" w:rsidRDefault="0088742D" w:rsidP="0088742D">
      <w:pPr>
        <w:pStyle w:val="ListParagraph"/>
        <w:ind w:left="0"/>
      </w:pPr>
    </w:p>
    <w:p w14:paraId="09A63FB2" w14:textId="77777777" w:rsidR="0088742D" w:rsidRDefault="0088742D" w:rsidP="0088742D">
      <w:pPr>
        <w:pStyle w:val="ListParagraph"/>
        <w:ind w:left="0"/>
      </w:pPr>
    </w:p>
    <w:p w14:paraId="49E64D08" w14:textId="77777777" w:rsidR="0088742D" w:rsidRDefault="0088742D" w:rsidP="0088742D">
      <w:pPr>
        <w:pStyle w:val="ListParagraph"/>
        <w:ind w:left="0"/>
      </w:pPr>
      <w:r>
        <w:t xml:space="preserve">                                                                                                                              </w:t>
      </w:r>
    </w:p>
    <w:p w14:paraId="2325FCAE" w14:textId="77777777" w:rsidR="0088742D" w:rsidRDefault="0088742D" w:rsidP="0088742D">
      <w:pPr>
        <w:pStyle w:val="ListParagraph"/>
        <w:ind w:left="0"/>
      </w:pPr>
      <w:r>
        <w:t xml:space="preserve">                                                                                                                         </w:t>
      </w:r>
      <w:r>
        <w:rPr>
          <w:rStyle w:val="EndnoteReference"/>
        </w:rPr>
        <w:endnoteReference w:id="10"/>
      </w:r>
      <w:r>
        <w:t xml:space="preserve">   </w:t>
      </w:r>
    </w:p>
    <w:p w14:paraId="035B71B6" w14:textId="77777777" w:rsidR="0088742D" w:rsidRDefault="0088742D" w:rsidP="0088742D">
      <w:pPr>
        <w:pStyle w:val="ListParagraph"/>
        <w:ind w:left="0"/>
      </w:pPr>
      <w:r>
        <w:t xml:space="preserve">                                                     </w:t>
      </w:r>
    </w:p>
    <w:p w14:paraId="66260611" w14:textId="77777777" w:rsidR="0088742D" w:rsidRDefault="0088742D" w:rsidP="0088742D">
      <w:pPr>
        <w:pStyle w:val="ListParagraph"/>
        <w:ind w:left="0"/>
        <w:sectPr w:rsidR="0088742D" w:rsidSect="0088742D">
          <w:endnotePr>
            <w:numFmt w:val="decimal"/>
          </w:endnotePr>
          <w:pgSz w:w="16838" w:h="11906" w:orient="landscape"/>
          <w:pgMar w:top="1440" w:right="1440" w:bottom="1440" w:left="1440" w:header="708" w:footer="708" w:gutter="0"/>
          <w:cols w:space="708"/>
          <w:docGrid w:linePitch="360"/>
        </w:sectPr>
      </w:pPr>
      <w:r>
        <w:t xml:space="preserve">     </w:t>
      </w:r>
    </w:p>
    <w:p w14:paraId="5BC3A7CB" w14:textId="77777777" w:rsidR="0088742D" w:rsidRDefault="0088742D" w:rsidP="0088742D">
      <w:pPr>
        <w:pStyle w:val="Heading2"/>
        <w:keepNext/>
        <w:keepLines/>
        <w:numPr>
          <w:ilvl w:val="1"/>
          <w:numId w:val="17"/>
        </w:numPr>
        <w:spacing w:before="480" w:after="120" w:line="276" w:lineRule="auto"/>
      </w:pPr>
      <w:bookmarkStart w:id="11" w:name="_Toc38369981"/>
      <w:r>
        <w:lastRenderedPageBreak/>
        <w:t>Allocate resources to the project</w:t>
      </w:r>
      <w:bookmarkEnd w:id="11"/>
    </w:p>
    <w:p w14:paraId="7C090CFB" w14:textId="77777777" w:rsidR="0088742D" w:rsidRDefault="0088742D" w:rsidP="0088742D">
      <w:pPr>
        <w:jc w:val="both"/>
      </w:pPr>
      <w:r>
        <w:t>The project plan will explore the potential resources required to ensure implementation is possible. Planning at the outset will ensure feasibility and sustainability are considered.</w:t>
      </w:r>
    </w:p>
    <w:p w14:paraId="0243EB27" w14:textId="77777777" w:rsidR="0088742D" w:rsidRDefault="0088742D" w:rsidP="0088742D">
      <w:pPr>
        <w:jc w:val="both"/>
      </w:pPr>
      <w:r>
        <w:t>Resources can be categorised as human, fiscal and physical requirements and are interconnected. Time will be one of the most significant resources required, and if inappropriate fiscal and physical resource is invested in implementation, then the time for implementation will be longer. It is recommended that at least 12 months be allocated to the implementation of a new initiative. This means that enough project management, monitoring and capacity for optimisation are factored into the implementation and delivery over the initial 12 months.</w:t>
      </w:r>
    </w:p>
    <w:p w14:paraId="02A0F54A" w14:textId="77777777" w:rsidR="0088742D" w:rsidRDefault="0088742D" w:rsidP="0088742D">
      <w:pPr>
        <w:jc w:val="both"/>
      </w:pPr>
      <w:r>
        <w:t xml:space="preserve">The RPS innovator’s toolkit: </w:t>
      </w:r>
      <w:r w:rsidRPr="00F932C2">
        <w:rPr>
          <w:i/>
        </w:rPr>
        <w:t>Hospital referral to community pharmacy</w:t>
      </w:r>
      <w:r>
        <w:t>,</w:t>
      </w:r>
      <w:r w:rsidRPr="0090386E">
        <w:rPr>
          <w:vertAlign w:val="superscript"/>
        </w:rPr>
        <w:fldChar w:fldCharType="begin"/>
      </w:r>
      <w:r w:rsidRPr="0090386E">
        <w:rPr>
          <w:vertAlign w:val="superscript"/>
        </w:rPr>
        <w:instrText xml:space="preserve"> NOTEREF _Ref38363128 \h </w:instrText>
      </w:r>
      <w:r w:rsidRPr="0090386E">
        <w:rPr>
          <w:vertAlign w:val="superscript"/>
        </w:rPr>
      </w:r>
      <w:r>
        <w:rPr>
          <w:vertAlign w:val="superscript"/>
        </w:rPr>
        <w:instrText xml:space="preserve"> \* MERGEFORMAT </w:instrText>
      </w:r>
      <w:r w:rsidRPr="0090386E">
        <w:rPr>
          <w:vertAlign w:val="superscript"/>
        </w:rPr>
        <w:fldChar w:fldCharType="separate"/>
      </w:r>
      <w:r w:rsidRPr="0090386E">
        <w:rPr>
          <w:vertAlign w:val="superscript"/>
        </w:rPr>
        <w:t>8</w:t>
      </w:r>
      <w:r w:rsidRPr="0090386E">
        <w:rPr>
          <w:vertAlign w:val="superscript"/>
        </w:rPr>
        <w:fldChar w:fldCharType="end"/>
      </w:r>
      <w:r>
        <w:t xml:space="preserve"> discuss some of the potential costs involved in the adoption of referral systems, which include:</w:t>
      </w:r>
    </w:p>
    <w:p w14:paraId="73EEBB40" w14:textId="77777777" w:rsidR="0088742D" w:rsidRDefault="0088742D" w:rsidP="0088742D">
      <w:pPr>
        <w:pStyle w:val="ListParagraph"/>
        <w:numPr>
          <w:ilvl w:val="0"/>
          <w:numId w:val="39"/>
        </w:numPr>
        <w:spacing w:before="120" w:after="120"/>
        <w:jc w:val="both"/>
      </w:pPr>
      <w:r>
        <w:t>Costs to deliver NMS and MURs</w:t>
      </w:r>
    </w:p>
    <w:p w14:paraId="28926CE6" w14:textId="77777777" w:rsidR="0088742D" w:rsidRDefault="0088742D" w:rsidP="0088742D">
      <w:pPr>
        <w:pStyle w:val="ListParagraph"/>
        <w:numPr>
          <w:ilvl w:val="0"/>
          <w:numId w:val="39"/>
        </w:numPr>
        <w:spacing w:before="120" w:after="120"/>
        <w:jc w:val="both"/>
      </w:pPr>
      <w:r>
        <w:t>Hospital staff resources</w:t>
      </w:r>
    </w:p>
    <w:p w14:paraId="1468800F" w14:textId="77777777" w:rsidR="0088742D" w:rsidRDefault="0088742D" w:rsidP="0088742D">
      <w:pPr>
        <w:pStyle w:val="ListParagraph"/>
        <w:numPr>
          <w:ilvl w:val="0"/>
          <w:numId w:val="39"/>
        </w:numPr>
        <w:spacing w:before="120" w:after="120"/>
        <w:jc w:val="both"/>
      </w:pPr>
      <w:r>
        <w:t>Community staff resources</w:t>
      </w:r>
    </w:p>
    <w:p w14:paraId="08058463" w14:textId="77777777" w:rsidR="0088742D" w:rsidRDefault="0088742D" w:rsidP="0088742D">
      <w:pPr>
        <w:pStyle w:val="ListParagraph"/>
        <w:numPr>
          <w:ilvl w:val="0"/>
          <w:numId w:val="39"/>
        </w:numPr>
        <w:spacing w:before="120" w:after="120"/>
        <w:jc w:val="both"/>
      </w:pPr>
      <w:r>
        <w:t>Systems and solutions costs</w:t>
      </w:r>
    </w:p>
    <w:p w14:paraId="56B481A3" w14:textId="77777777" w:rsidR="0088742D" w:rsidRDefault="0088742D" w:rsidP="0088742D">
      <w:pPr>
        <w:pStyle w:val="Heading2"/>
        <w:keepNext/>
        <w:keepLines/>
        <w:numPr>
          <w:ilvl w:val="1"/>
          <w:numId w:val="17"/>
        </w:numPr>
        <w:spacing w:before="480" w:after="120" w:line="276" w:lineRule="auto"/>
        <w:jc w:val="both"/>
      </w:pPr>
      <w:bookmarkStart w:id="12" w:name="_Toc38369982"/>
      <w:r>
        <w:t>Assess current barriers and facilitators to change</w:t>
      </w:r>
      <w:bookmarkEnd w:id="12"/>
    </w:p>
    <w:p w14:paraId="65DE227A" w14:textId="77777777" w:rsidR="0088742D" w:rsidRDefault="0088742D" w:rsidP="0088742D">
      <w:pPr>
        <w:jc w:val="both"/>
      </w:pPr>
      <w:r>
        <w:t>The context within which a new initiative is implemented will have a significant impact on the assimilation of innovation. Considering and assessing the context and environment is important to consider in strategizing implementation and setting achievable goals. Key components include strong leadership, clear vision, good management relations and effective data capture and reporting systems.</w:t>
      </w:r>
    </w:p>
    <w:p w14:paraId="15DDA17A" w14:textId="77777777" w:rsidR="0088742D" w:rsidRDefault="0088742D" w:rsidP="0088742D">
      <w:pPr>
        <w:jc w:val="both"/>
      </w:pPr>
      <w:r>
        <w:t>In the assessment of current issues, barriers to implementation can be uncovered. These can exist at several levels – the initiative itself, the individual (negative belief about change), the organisation (lack of resource), and the broader environment (lack of a sustainable funding mechanism). Understanding these will inform and frame the strategies utilised within implementation.</w:t>
      </w:r>
    </w:p>
    <w:p w14:paraId="72888229" w14:textId="77777777" w:rsidR="0088742D" w:rsidRDefault="0088742D" w:rsidP="0088742D">
      <w:pPr>
        <w:jc w:val="both"/>
      </w:pPr>
      <w:r>
        <w:t>Some common organisational and project characteristics that enable successful implementation of handover include:</w:t>
      </w:r>
    </w:p>
    <w:p w14:paraId="79F64B9D" w14:textId="77777777" w:rsidR="0088742D" w:rsidRDefault="0088742D" w:rsidP="0088742D">
      <w:pPr>
        <w:pStyle w:val="ListParagraph"/>
        <w:numPr>
          <w:ilvl w:val="0"/>
          <w:numId w:val="27"/>
        </w:numPr>
        <w:spacing w:before="120" w:after="120" w:line="276" w:lineRule="auto"/>
        <w:jc w:val="both"/>
      </w:pPr>
      <w:r>
        <w:t>Tailoring a tool or process for the specific initiative environment, which is practical and an improvement on current practice</w:t>
      </w:r>
    </w:p>
    <w:p w14:paraId="78BFB573" w14:textId="77777777" w:rsidR="0088742D" w:rsidRDefault="0088742D" w:rsidP="0088742D">
      <w:pPr>
        <w:pStyle w:val="ListParagraph"/>
        <w:numPr>
          <w:ilvl w:val="0"/>
          <w:numId w:val="27"/>
        </w:numPr>
        <w:spacing w:before="120" w:after="120" w:line="276" w:lineRule="auto"/>
        <w:jc w:val="both"/>
      </w:pPr>
      <w:r>
        <w:t>An organisational environment that is supportive and favourable to change. The case of change is compelling and is made an organisational priority to embed into routine practices and structures</w:t>
      </w:r>
    </w:p>
    <w:p w14:paraId="6DA100E0" w14:textId="77777777" w:rsidR="0088742D" w:rsidRDefault="0088742D" w:rsidP="0088742D">
      <w:pPr>
        <w:pStyle w:val="ListParagraph"/>
        <w:numPr>
          <w:ilvl w:val="0"/>
          <w:numId w:val="27"/>
        </w:numPr>
        <w:spacing w:before="120" w:after="120" w:line="276" w:lineRule="auto"/>
        <w:jc w:val="both"/>
      </w:pPr>
      <w:r>
        <w:t>Influential people driving change. A dedicated project manager is a key factor for success</w:t>
      </w:r>
    </w:p>
    <w:p w14:paraId="54AB7434" w14:textId="77777777" w:rsidR="0088742D" w:rsidRDefault="0088742D" w:rsidP="0088742D">
      <w:pPr>
        <w:pStyle w:val="ListParagraph"/>
        <w:numPr>
          <w:ilvl w:val="0"/>
          <w:numId w:val="27"/>
        </w:numPr>
        <w:spacing w:before="120" w:after="120" w:line="276" w:lineRule="auto"/>
        <w:jc w:val="both"/>
      </w:pPr>
      <w:r>
        <w:t>Demonstrable and positive outcomes resulting from change that are easy to collect and report, e.g. adverse events data showing reduction in patient harm, staff perceptions of improved communication, role clarity and confidence levels.</w:t>
      </w:r>
    </w:p>
    <w:p w14:paraId="1B264026" w14:textId="77777777" w:rsidR="0088742D" w:rsidRDefault="0088742D" w:rsidP="0088742D">
      <w:pPr>
        <w:jc w:val="both"/>
      </w:pPr>
    </w:p>
    <w:p w14:paraId="7B3A5F3F" w14:textId="77777777" w:rsidR="0088742D" w:rsidRDefault="0088742D" w:rsidP="0088742D">
      <w:pPr>
        <w:jc w:val="both"/>
      </w:pPr>
    </w:p>
    <w:p w14:paraId="5095DF35" w14:textId="2577AD26" w:rsidR="0088742D" w:rsidRDefault="0088742D" w:rsidP="0088742D">
      <w:pPr>
        <w:jc w:val="both"/>
      </w:pPr>
      <w:r>
        <w:lastRenderedPageBreak/>
        <w:t>A SWOT (Strengths, Weaknesses, Opportunities and Threats) analysis is a simple way to assess the barriers and facilitators to change. This will identify potential risks and issues that affect implementation and strategies to mitigate these risks prior to implementation and ultimately be useful to inform the implementation plan.</w:t>
      </w:r>
    </w:p>
    <w:p w14:paraId="20A0D8CF" w14:textId="77777777" w:rsidR="0088742D" w:rsidRDefault="0088742D" w:rsidP="0088742D">
      <w:pPr>
        <w:jc w:val="center"/>
      </w:pPr>
      <w:r>
        <w:rPr>
          <w:noProof/>
        </w:rPr>
        <w:drawing>
          <wp:inline distT="0" distB="0" distL="0" distR="0" wp14:anchorId="18106276" wp14:editId="479E143F">
            <wp:extent cx="2752725" cy="2752725"/>
            <wp:effectExtent l="0" t="0" r="0" b="0"/>
            <wp:docPr id="10" name="Picture 10" descr="UPDATED* Coaching Tools 101: Everything you need to know abou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PDATED* Coaching Tools 101: Everything you need to know about ..."/>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52725" cy="2752725"/>
                    </a:xfrm>
                    <a:prstGeom prst="rect">
                      <a:avLst/>
                    </a:prstGeom>
                    <a:noFill/>
                    <a:ln>
                      <a:noFill/>
                    </a:ln>
                  </pic:spPr>
                </pic:pic>
              </a:graphicData>
            </a:graphic>
          </wp:inline>
        </w:drawing>
      </w:r>
    </w:p>
    <w:p w14:paraId="55AA4DE5" w14:textId="77777777" w:rsidR="0088742D" w:rsidRDefault="0088742D" w:rsidP="0088742D">
      <w:pPr>
        <w:pStyle w:val="Heading2"/>
        <w:keepNext/>
        <w:keepLines/>
        <w:numPr>
          <w:ilvl w:val="1"/>
          <w:numId w:val="17"/>
        </w:numPr>
        <w:spacing w:before="480" w:after="120" w:line="276" w:lineRule="auto"/>
      </w:pPr>
      <w:bookmarkStart w:id="13" w:name="_Toc38369983"/>
      <w:r>
        <w:t>Identify project stakeholders</w:t>
      </w:r>
      <w:bookmarkEnd w:id="13"/>
    </w:p>
    <w:p w14:paraId="017B3C16" w14:textId="77777777" w:rsidR="0088742D" w:rsidRDefault="0088742D" w:rsidP="0088742D">
      <w:pPr>
        <w:jc w:val="both"/>
      </w:pPr>
      <w:r>
        <w:t>Stakeholder engagement at all levels of the organisation is essential for leading change. The established project team will need to identify key internal and external stakeholders that may assist or impede implementation. These should be identified and included in the early stages to ensure effective change management processes.</w:t>
      </w:r>
    </w:p>
    <w:p w14:paraId="6FBCCF10" w14:textId="77777777" w:rsidR="0088742D" w:rsidRDefault="0088742D" w:rsidP="0088742D">
      <w:pPr>
        <w:jc w:val="both"/>
      </w:pPr>
      <w:r>
        <w:t xml:space="preserve">As an example, the nature of the clinical handover process provided for the TCAM pilot at Newcastle upon Tyne NHS Hospital Trust was complex and is depicted in </w:t>
      </w:r>
      <w:r w:rsidRPr="004B29C9">
        <w:rPr>
          <w:b/>
        </w:rPr>
        <w:t>Fig 2</w:t>
      </w:r>
      <w:r>
        <w:t>.</w:t>
      </w:r>
    </w:p>
    <w:p w14:paraId="3960860F" w14:textId="77777777" w:rsidR="0088742D" w:rsidRDefault="0088742D" w:rsidP="0088742D">
      <w:pPr>
        <w:jc w:val="both"/>
        <w:sectPr w:rsidR="0088742D" w:rsidSect="0088742D">
          <w:pgSz w:w="11906" w:h="16838"/>
          <w:pgMar w:top="1440" w:right="1440" w:bottom="1440" w:left="1440" w:header="708" w:footer="708" w:gutter="0"/>
          <w:cols w:space="708"/>
          <w:docGrid w:linePitch="360"/>
        </w:sectPr>
      </w:pPr>
      <w:r>
        <w:t xml:space="preserve">The mapped patient journey highlights the multistep process and the various stakeholders involved in the system. To ensure each step of the journey is best managed, representation of stakeholders responsible and/or involved for each step should exist within the project team. The project team established regular meetings with representatives from the providers (hospital pharmacy, community pharmacy), LPN, LPC, patient groups, AHSN and academia, where the remit included aspects listed in </w:t>
      </w:r>
      <w:r w:rsidRPr="009A7F35">
        <w:rPr>
          <w:b/>
        </w:rPr>
        <w:t>2.3 Form a project team</w:t>
      </w:r>
      <w:r>
        <w:t xml:space="preserve">. This experience highlighted the key role of the LPC to ensure widespread, continuing engagement with the pharmacists in community.  </w:t>
      </w:r>
    </w:p>
    <w:p w14:paraId="4703CC62" w14:textId="77777777" w:rsidR="0088742D" w:rsidRDefault="0088742D" w:rsidP="0088742D">
      <w:pPr>
        <w:jc w:val="center"/>
      </w:pPr>
      <w:r w:rsidRPr="007A31AD">
        <w:rPr>
          <w:rFonts w:cstheme="minorHAnsi"/>
          <w:noProof/>
        </w:rPr>
        <w:lastRenderedPageBreak/>
        <w:drawing>
          <wp:inline distT="0" distB="0" distL="0" distR="0" wp14:anchorId="167B8463" wp14:editId="1B929917">
            <wp:extent cx="8024495" cy="476694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tient journey through ToC.png"/>
                    <pic:cNvPicPr/>
                  </pic:nvPicPr>
                  <pic:blipFill>
                    <a:blip r:embed="rId17">
                      <a:extLst>
                        <a:ext uri="{28A0092B-C50C-407E-A947-70E740481C1C}">
                          <a14:useLocalDpi xmlns:a14="http://schemas.microsoft.com/office/drawing/2010/main" val="0"/>
                        </a:ext>
                      </a:extLst>
                    </a:blip>
                    <a:stretch>
                      <a:fillRect/>
                    </a:stretch>
                  </pic:blipFill>
                  <pic:spPr>
                    <a:xfrm>
                      <a:off x="0" y="0"/>
                      <a:ext cx="8024495" cy="4766945"/>
                    </a:xfrm>
                    <a:prstGeom prst="rect">
                      <a:avLst/>
                    </a:prstGeom>
                  </pic:spPr>
                </pic:pic>
              </a:graphicData>
            </a:graphic>
          </wp:inline>
        </w:drawing>
      </w:r>
    </w:p>
    <w:p w14:paraId="77C4AAC2" w14:textId="77777777" w:rsidR="0088742D" w:rsidRDefault="0088742D" w:rsidP="0088742D">
      <w:pPr>
        <w:sectPr w:rsidR="0088742D" w:rsidSect="0088742D">
          <w:pgSz w:w="16838" w:h="11906" w:orient="landscape"/>
          <w:pgMar w:top="1440" w:right="1440" w:bottom="1440" w:left="1440" w:header="708" w:footer="708" w:gutter="0"/>
          <w:cols w:space="708"/>
          <w:docGrid w:linePitch="360"/>
        </w:sectPr>
      </w:pPr>
      <w:r w:rsidRPr="004B29C9">
        <w:rPr>
          <w:b/>
        </w:rPr>
        <w:t>Figure 2.</w:t>
      </w:r>
      <w:r>
        <w:t xml:space="preserve">  </w:t>
      </w:r>
      <w:r>
        <w:rPr>
          <w:rFonts w:cstheme="minorHAnsi"/>
        </w:rPr>
        <w:t>The potential journey of a patient if offered an electronic (</w:t>
      </w:r>
      <w:proofErr w:type="spellStart"/>
      <w:r>
        <w:rPr>
          <w:rFonts w:cstheme="minorHAnsi"/>
        </w:rPr>
        <w:t>eReferral</w:t>
      </w:r>
      <w:proofErr w:type="spellEnd"/>
      <w:r>
        <w:rPr>
          <w:rFonts w:cstheme="minorHAnsi"/>
        </w:rPr>
        <w:t>) during their hospital admission to their community pharmacist for follow-up care.</w:t>
      </w:r>
    </w:p>
    <w:p w14:paraId="4ED7C88A" w14:textId="77777777" w:rsidR="0088742D" w:rsidRDefault="0088742D" w:rsidP="0088742D">
      <w:pPr>
        <w:pStyle w:val="Heading1"/>
        <w:keepNext/>
        <w:keepLines/>
        <w:numPr>
          <w:ilvl w:val="0"/>
          <w:numId w:val="17"/>
        </w:numPr>
        <w:spacing w:before="480" w:after="0" w:line="276" w:lineRule="auto"/>
        <w:jc w:val="both"/>
      </w:pPr>
      <w:bookmarkStart w:id="14" w:name="_Toc38369984"/>
      <w:r>
        <w:lastRenderedPageBreak/>
        <w:t>Organisational leadership</w:t>
      </w:r>
      <w:bookmarkEnd w:id="14"/>
    </w:p>
    <w:p w14:paraId="47353DE9" w14:textId="77777777" w:rsidR="0088742D" w:rsidRDefault="0088742D" w:rsidP="0088742D">
      <w:pPr>
        <w:jc w:val="both"/>
      </w:pPr>
      <w:r>
        <w:t>The organisational leadership phase commences as soon as the project team is established, and resources are identified.</w:t>
      </w:r>
    </w:p>
    <w:p w14:paraId="6094DD13" w14:textId="77777777" w:rsidR="0088742D" w:rsidRDefault="0088742D" w:rsidP="0088742D">
      <w:pPr>
        <w:pStyle w:val="Heading2"/>
        <w:keepNext/>
        <w:keepLines/>
        <w:numPr>
          <w:ilvl w:val="1"/>
          <w:numId w:val="17"/>
        </w:numPr>
        <w:spacing w:before="480" w:after="120" w:line="276" w:lineRule="auto"/>
        <w:jc w:val="both"/>
      </w:pPr>
      <w:bookmarkStart w:id="15" w:name="_Toc38369985"/>
      <w:r>
        <w:t>Analyse current issues and seek out good practice</w:t>
      </w:r>
      <w:bookmarkEnd w:id="15"/>
    </w:p>
    <w:p w14:paraId="49F1FC0A" w14:textId="77777777" w:rsidR="0088742D" w:rsidRDefault="0088742D" w:rsidP="0088742D">
      <w:pPr>
        <w:jc w:val="both"/>
      </w:pPr>
      <w:r>
        <w:t>The project team should determine current practice to validate the need for change. This could be assessed from incident or adverse event reporting or mapping the patient journey to identify gaps in patient care and safety. Similarly, if there are current practices within the organisation, or evidence of good practice being reported elsewhere, this should be sought out, celebrated and adopted or spread this within the organisation. Engaging with the local AHSN will facilitate learning of how services are implemented and managed elsewhere and the respective impact. Documentation such as the RPS reports and innovator’s toolkit include case studies that again describe clinical handover services, and published literature from national and international initiatives, can offer further valuable insight. Documents such as this toolkit and resultant discussions in national and local forums, offer specific information and guidance but also provide an opportunity to engage in debate and critique for further optimisation and improvement.</w:t>
      </w:r>
    </w:p>
    <w:p w14:paraId="635EF92D" w14:textId="77777777" w:rsidR="0088742D" w:rsidRDefault="0088742D" w:rsidP="0088742D">
      <w:pPr>
        <w:pStyle w:val="Heading2"/>
        <w:keepNext/>
        <w:keepLines/>
        <w:numPr>
          <w:ilvl w:val="1"/>
          <w:numId w:val="17"/>
        </w:numPr>
        <w:spacing w:before="480" w:after="120" w:line="276" w:lineRule="auto"/>
        <w:jc w:val="both"/>
      </w:pPr>
      <w:bookmarkStart w:id="16" w:name="_Toc38369986"/>
      <w:r>
        <w:t>Collect baseline data and undertake a risk assessment</w:t>
      </w:r>
      <w:bookmarkEnd w:id="16"/>
    </w:p>
    <w:p w14:paraId="4D8A229E" w14:textId="77777777" w:rsidR="0088742D" w:rsidRDefault="0088742D" w:rsidP="0088742D">
      <w:pPr>
        <w:jc w:val="both"/>
      </w:pPr>
      <w:r>
        <w:t>The collection of local baseline information will support the case for change to improve clinical handover. Useful information could include specific cases where patients transitioning between healthcare settings experienced harm and data demonstrating the contribution of poor handover to adverse events or inefficiencies. The project team should ensure that baseline data is captured and that the initiative is designed in such a way to enable monitoring of performance and impact to compare to the baseline data. This also indicates an area where more work is required to substantiate the true significance of clinical handover on patient care.</w:t>
      </w:r>
    </w:p>
    <w:p w14:paraId="475ED71F" w14:textId="77777777" w:rsidR="0088742D" w:rsidRDefault="0088742D" w:rsidP="0088742D">
      <w:pPr>
        <w:jc w:val="both"/>
      </w:pPr>
      <w:r>
        <w:t xml:space="preserve">Undertaking a risk assessment on the data obtained will assist the team to determine current problems with handover and potential risks of current practice for patient safety. </w:t>
      </w:r>
    </w:p>
    <w:p w14:paraId="1C6FA44B" w14:textId="77777777" w:rsidR="0088742D" w:rsidRDefault="0088742D" w:rsidP="0088742D">
      <w:pPr>
        <w:pStyle w:val="Heading2"/>
        <w:keepNext/>
        <w:keepLines/>
        <w:numPr>
          <w:ilvl w:val="1"/>
          <w:numId w:val="17"/>
        </w:numPr>
        <w:spacing w:before="480" w:after="120" w:line="276" w:lineRule="auto"/>
        <w:jc w:val="both"/>
      </w:pPr>
      <w:bookmarkStart w:id="17" w:name="_Toc38369987"/>
      <w:r>
        <w:t>Identify other safety and quality initiatives</w:t>
      </w:r>
      <w:bookmarkEnd w:id="17"/>
    </w:p>
    <w:p w14:paraId="01FE9788" w14:textId="77777777" w:rsidR="0088742D" w:rsidRDefault="0088742D" w:rsidP="0088742D">
      <w:pPr>
        <w:jc w:val="both"/>
      </w:pPr>
      <w:r>
        <w:t>The clinical handover can be integrated with existing processes and structures that aim to improve safety and quality. This can strengthen the clinical handover and facilitate adoption and normalisation.</w:t>
      </w:r>
    </w:p>
    <w:p w14:paraId="1F07FE6C" w14:textId="77777777" w:rsidR="0088742D" w:rsidRDefault="0088742D" w:rsidP="0088742D">
      <w:pPr>
        <w:jc w:val="both"/>
        <w:sectPr w:rsidR="0088742D">
          <w:pgSz w:w="11906" w:h="16838"/>
          <w:pgMar w:top="1440" w:right="1440" w:bottom="1440" w:left="1440" w:header="708" w:footer="708" w:gutter="0"/>
          <w:cols w:space="708"/>
          <w:docGrid w:linePitch="360"/>
        </w:sectPr>
      </w:pPr>
      <w:r>
        <w:t>For example, with the introduction of new hospital IT systems, explore the potential to support clinical handover via electronic referral to community pharmacy, and identify the capacity to transmit appropriate information and capture useful data for the service.</w:t>
      </w:r>
    </w:p>
    <w:p w14:paraId="10B829B1" w14:textId="77777777" w:rsidR="0088742D" w:rsidRDefault="0088742D" w:rsidP="0088742D">
      <w:pPr>
        <w:pStyle w:val="Heading1"/>
        <w:keepNext/>
        <w:keepLines/>
        <w:numPr>
          <w:ilvl w:val="0"/>
          <w:numId w:val="17"/>
        </w:numPr>
        <w:spacing w:before="480" w:after="0" w:line="276" w:lineRule="auto"/>
      </w:pPr>
      <w:bookmarkStart w:id="18" w:name="_Toc38369988"/>
      <w:r>
        <w:lastRenderedPageBreak/>
        <w:t>Simple solution development</w:t>
      </w:r>
      <w:bookmarkEnd w:id="18"/>
    </w:p>
    <w:p w14:paraId="0424151D" w14:textId="77777777" w:rsidR="0088742D" w:rsidRDefault="0088742D" w:rsidP="0088742D">
      <w:pPr>
        <w:jc w:val="both"/>
      </w:pPr>
      <w:r>
        <w:t xml:space="preserve">Clinical handover services within a site should be standardised, with a clearly structured process and defined transfer of relevant patient information, ascribed accountability and responsibility. </w:t>
      </w:r>
    </w:p>
    <w:p w14:paraId="774ABAA5" w14:textId="77777777" w:rsidR="0088742D" w:rsidRDefault="0088742D" w:rsidP="0088742D">
      <w:pPr>
        <w:jc w:val="both"/>
      </w:pPr>
      <w:r>
        <w:t xml:space="preserve">The clinical handover service is ultimately a vehicle to deliver medicines optimisation. The RPS good practice guidance: </w:t>
      </w:r>
      <w:r w:rsidRPr="009A7F35">
        <w:rPr>
          <w:i/>
        </w:rPr>
        <w:t>Medicines Optimisation</w:t>
      </w:r>
      <w:bookmarkStart w:id="19" w:name="_Ref38364250"/>
      <w:r>
        <w:rPr>
          <w:rStyle w:val="EndnoteReference"/>
          <w:i/>
        </w:rPr>
        <w:endnoteReference w:id="11"/>
      </w:r>
      <w:bookmarkEnd w:id="19"/>
      <w:r>
        <w:t xml:space="preserve">, describes four principles consistent with existing national guidance and good practice guidance that supports medicines optimisation. </w:t>
      </w:r>
    </w:p>
    <w:p w14:paraId="08E7463A" w14:textId="77777777" w:rsidR="0088742D" w:rsidRDefault="0088742D" w:rsidP="0088742D">
      <w:pPr>
        <w:jc w:val="center"/>
      </w:pPr>
      <w:r>
        <w:rPr>
          <w:noProof/>
        </w:rPr>
        <w:drawing>
          <wp:inline distT="0" distB="0" distL="0" distR="0" wp14:anchorId="6207DA00" wp14:editId="62431940">
            <wp:extent cx="3367088" cy="3367088"/>
            <wp:effectExtent l="0" t="0" r="5080" b="5080"/>
            <wp:docPr id="17" name="Picture 17" descr="https://www.prescqipp.info/images/1314_Assets/MO%20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https://www.prescqipp.info/images/1314_Assets/MO%20image.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74396" cy="3374396"/>
                    </a:xfrm>
                    <a:prstGeom prst="rect">
                      <a:avLst/>
                    </a:prstGeom>
                    <a:noFill/>
                    <a:ln>
                      <a:noFill/>
                    </a:ln>
                  </pic:spPr>
                </pic:pic>
              </a:graphicData>
            </a:graphic>
          </wp:inline>
        </w:drawing>
      </w:r>
    </w:p>
    <w:p w14:paraId="2B7DE355" w14:textId="77777777" w:rsidR="0088742D" w:rsidRDefault="0088742D" w:rsidP="0088742D">
      <w:pPr>
        <w:jc w:val="both"/>
      </w:pPr>
      <w:r w:rsidRPr="004B29C9">
        <w:rPr>
          <w:b/>
        </w:rPr>
        <w:t>Figure 3.</w:t>
      </w:r>
      <w:r>
        <w:t xml:space="preserve"> Summary of the four principles of medicines optimisation.</w:t>
      </w:r>
      <w:r w:rsidRPr="00A135B5">
        <w:rPr>
          <w:vertAlign w:val="superscript"/>
        </w:rPr>
        <w:fldChar w:fldCharType="begin"/>
      </w:r>
      <w:r w:rsidRPr="00A135B5">
        <w:rPr>
          <w:vertAlign w:val="superscript"/>
        </w:rPr>
        <w:instrText xml:space="preserve"> NOTEREF _Ref38364250 \h </w:instrText>
      </w:r>
      <w:r w:rsidRPr="00A135B5">
        <w:rPr>
          <w:vertAlign w:val="superscript"/>
        </w:rPr>
      </w:r>
      <w:r>
        <w:rPr>
          <w:vertAlign w:val="superscript"/>
        </w:rPr>
        <w:instrText xml:space="preserve"> \* MERGEFORMAT </w:instrText>
      </w:r>
      <w:r w:rsidRPr="00A135B5">
        <w:rPr>
          <w:vertAlign w:val="superscript"/>
        </w:rPr>
        <w:fldChar w:fldCharType="separate"/>
      </w:r>
      <w:r w:rsidRPr="00A135B5">
        <w:rPr>
          <w:vertAlign w:val="superscript"/>
        </w:rPr>
        <w:t>11</w:t>
      </w:r>
      <w:r w:rsidRPr="00A135B5">
        <w:rPr>
          <w:vertAlign w:val="superscript"/>
        </w:rPr>
        <w:fldChar w:fldCharType="end"/>
      </w:r>
    </w:p>
    <w:p w14:paraId="1786F991" w14:textId="77777777" w:rsidR="0088742D" w:rsidRDefault="0088742D" w:rsidP="0088742D">
      <w:pPr>
        <w:jc w:val="both"/>
      </w:pPr>
      <w:r>
        <w:t xml:space="preserve">The short excerpts provided by pharmacist practitioners aiming to demonstrate these four concepts, all relate to patients having transitioned between care settings and experiencing medicines and/or disease-related issues that the practitioner was able to intervene and address. </w:t>
      </w:r>
    </w:p>
    <w:p w14:paraId="3020E04E" w14:textId="77777777" w:rsidR="0088742D" w:rsidRDefault="0088742D" w:rsidP="0088742D">
      <w:pPr>
        <w:jc w:val="both"/>
      </w:pPr>
      <w:r>
        <w:t>Consequently, these four principles can act as a framework in the design of a clinical handover service. The good practice guidance also includes anticipated outcomes if these principles underpin clinical practice, which can inform the types of outcomes that can be measured from clinical handover services.</w:t>
      </w:r>
    </w:p>
    <w:p w14:paraId="7849E5C0" w14:textId="77777777" w:rsidR="0088742D" w:rsidRDefault="0088742D" w:rsidP="0088742D">
      <w:pPr>
        <w:pStyle w:val="Heading2"/>
        <w:keepNext/>
        <w:keepLines/>
        <w:numPr>
          <w:ilvl w:val="1"/>
          <w:numId w:val="17"/>
        </w:numPr>
        <w:spacing w:before="480" w:after="120" w:line="276" w:lineRule="auto"/>
        <w:jc w:val="both"/>
      </w:pPr>
      <w:bookmarkStart w:id="20" w:name="_Toc38369989"/>
      <w:r>
        <w:t>Flow chart your current handover processes against the principles of medicines optimisation</w:t>
      </w:r>
      <w:bookmarkEnd w:id="20"/>
    </w:p>
    <w:p w14:paraId="45FFF9A6" w14:textId="77777777" w:rsidR="0088742D" w:rsidRPr="00F6182D" w:rsidRDefault="0088742D" w:rsidP="0088742D">
      <w:pPr>
        <w:jc w:val="both"/>
      </w:pPr>
      <w:r>
        <w:t>Develop a mapped patient journey as they travel through the clinical care settings based on current practice. Compare the mapped process with the principles of medicines optimisation that will allow you to identify which areas of patient care are currently performed well, any existing gaps in the process and areas where improvements can be realised. The lean thinking approach can be adopted to ensure the newly design patient pathway is resource efficient to improve patient care and experience.</w:t>
      </w:r>
    </w:p>
    <w:p w14:paraId="08193BBC" w14:textId="77777777" w:rsidR="0088742D" w:rsidRDefault="0088742D" w:rsidP="0088742D">
      <w:pPr>
        <w:pStyle w:val="Heading2"/>
        <w:keepNext/>
        <w:keepLines/>
        <w:numPr>
          <w:ilvl w:val="1"/>
          <w:numId w:val="17"/>
        </w:numPr>
        <w:spacing w:before="480" w:after="120" w:line="276" w:lineRule="auto"/>
        <w:jc w:val="both"/>
      </w:pPr>
      <w:bookmarkStart w:id="21" w:name="_Toc38369990"/>
      <w:r>
        <w:lastRenderedPageBreak/>
        <w:t>Design an improved handover solution</w:t>
      </w:r>
      <w:bookmarkEnd w:id="21"/>
    </w:p>
    <w:p w14:paraId="4B155A63" w14:textId="77777777" w:rsidR="0088742D" w:rsidRDefault="0088742D" w:rsidP="0088742D">
      <w:pPr>
        <w:jc w:val="both"/>
      </w:pPr>
      <w:r>
        <w:t>The most effective clinical handover solutions are practical and simple improvements, which ease existing time pressures, reduce stress to staff and are supported by senior management.</w:t>
      </w:r>
    </w:p>
    <w:p w14:paraId="0D395F8F" w14:textId="77777777" w:rsidR="0088742D" w:rsidRDefault="0088742D" w:rsidP="0088742D">
      <w:pPr>
        <w:jc w:val="both"/>
      </w:pPr>
      <w:r>
        <w:t>The mapped patient journey can inform the design of components of an improved or new clinical handover solution. The solution should be:</w:t>
      </w:r>
    </w:p>
    <w:p w14:paraId="6D13B163" w14:textId="77777777" w:rsidR="0088742D" w:rsidRDefault="0088742D" w:rsidP="0088742D">
      <w:pPr>
        <w:pStyle w:val="ListParagraph"/>
        <w:numPr>
          <w:ilvl w:val="0"/>
          <w:numId w:val="36"/>
        </w:numPr>
        <w:spacing w:before="120" w:after="120" w:line="276" w:lineRule="auto"/>
        <w:jc w:val="both"/>
      </w:pPr>
      <w:r>
        <w:t xml:space="preserve">‘fit for purpose’, i.e. appropriate for staff to perform in the role in an efficient and effective way, and does not involve unnecessary people, steps or </w:t>
      </w:r>
      <w:proofErr w:type="gramStart"/>
      <w:r>
        <w:t>requirements;</w:t>
      </w:r>
      <w:proofErr w:type="gramEnd"/>
    </w:p>
    <w:p w14:paraId="278904E6" w14:textId="77777777" w:rsidR="0088742D" w:rsidRDefault="0088742D" w:rsidP="0088742D">
      <w:pPr>
        <w:pStyle w:val="ListParagraph"/>
        <w:numPr>
          <w:ilvl w:val="0"/>
          <w:numId w:val="36"/>
        </w:numPr>
        <w:spacing w:before="120" w:after="120" w:line="276" w:lineRule="auto"/>
        <w:jc w:val="both"/>
      </w:pPr>
      <w:r>
        <w:t xml:space="preserve">An efficient use of resources and staff time, which may inform the chosen form of integration, i.e. partial, full or </w:t>
      </w:r>
      <w:proofErr w:type="gramStart"/>
      <w:r>
        <w:t>manual;</w:t>
      </w:r>
      <w:proofErr w:type="gramEnd"/>
    </w:p>
    <w:p w14:paraId="4E8DAE9D" w14:textId="77777777" w:rsidR="0088742D" w:rsidRDefault="0088742D" w:rsidP="0088742D">
      <w:pPr>
        <w:pStyle w:val="ListParagraph"/>
        <w:numPr>
          <w:ilvl w:val="0"/>
          <w:numId w:val="36"/>
        </w:numPr>
        <w:spacing w:before="120" w:after="120" w:line="276" w:lineRule="auto"/>
        <w:jc w:val="both"/>
      </w:pPr>
      <w:r>
        <w:t>Beneficial to the organisation in terms of improved care processes for staff and for the care provided to patients.</w:t>
      </w:r>
    </w:p>
    <w:p w14:paraId="2C70ACAE" w14:textId="77777777" w:rsidR="0088742D" w:rsidRDefault="0088742D" w:rsidP="0088742D">
      <w:pPr>
        <w:jc w:val="both"/>
      </w:pPr>
      <w:r>
        <w:t>A recent report commissioned by Wessex AHSN and Rowlands pharmacy, documented that an early version of a pharmacist-led domiciliary review post-discharge service had components of the process that were inefficient and ineffective. For example, hospital pharmacy staff had specific referral criteria to adhere to when considering inpatients for the service, and staff were then required to initiate the referral by communicating with a designated member of staff. These steps of the process were reported to impede staff ability and confidence to recruit patients into the service. Subsequent changes were made to the service to improve effectiveness and efficiency, such as simplifying threshold criteria to recruit patients and streamlining the referral itself.</w:t>
      </w:r>
      <w:r>
        <w:rPr>
          <w:rStyle w:val="EndnoteReference"/>
        </w:rPr>
        <w:endnoteReference w:id="12"/>
      </w:r>
      <w:r>
        <w:t xml:space="preserve"> </w:t>
      </w:r>
    </w:p>
    <w:p w14:paraId="799D5B69" w14:textId="77777777" w:rsidR="0088742D" w:rsidRDefault="0088742D" w:rsidP="0088742D">
      <w:pPr>
        <w:pStyle w:val="Heading2"/>
        <w:keepNext/>
        <w:keepLines/>
        <w:numPr>
          <w:ilvl w:val="1"/>
          <w:numId w:val="17"/>
        </w:numPr>
        <w:spacing w:before="480" w:after="120" w:line="276" w:lineRule="auto"/>
        <w:jc w:val="both"/>
      </w:pPr>
      <w:bookmarkStart w:id="22" w:name="_Toc38369991"/>
      <w:r>
        <w:t>Develop tools to help implement the solution</w:t>
      </w:r>
      <w:bookmarkEnd w:id="22"/>
    </w:p>
    <w:p w14:paraId="24C8C0EF" w14:textId="77777777" w:rsidR="0088742D" w:rsidRDefault="0088742D" w:rsidP="0088742D">
      <w:pPr>
        <w:jc w:val="both"/>
      </w:pPr>
      <w:r>
        <w:t xml:space="preserve">There is an increasing number of reports, documents and communication materials that can spread good practice, reduce inefficiency and duplication in design and delivery and contribute to the evidence base for clinical handover. </w:t>
      </w:r>
    </w:p>
    <w:p w14:paraId="449E58FB" w14:textId="77777777" w:rsidR="0088742D" w:rsidRDefault="0088742D" w:rsidP="0088742D">
      <w:pPr>
        <w:jc w:val="both"/>
      </w:pPr>
      <w:r>
        <w:t>Recently commissioned work in the North East aimed to identify appropriate inpatient referral criteria to trigger clinical handover. Preliminary findings found that practitioners valued the role of ‘professional judgement’ to prompt clinical handover. This resonates with the literature from international studies, however there is a counterargument to suggest that this alone would lead to unstandardized care provision. Further work could explore the meaning of ‘professional judgement’ among staff triggering clinical handover to investigate the appropriateness for practice and potential alignment to other reported criteria. Further consensus work was undertaken with stakeholders nationally which established three key referral criteria including patients on high risk drugs, or one who had experienced changed medication whilst in hospital or one who was receiving a new medication on discharge</w:t>
      </w:r>
      <w:r w:rsidRPr="00A135B5">
        <w:rPr>
          <w:vertAlign w:val="superscript"/>
        </w:rPr>
        <w:fldChar w:fldCharType="begin"/>
      </w:r>
      <w:r w:rsidRPr="00A135B5">
        <w:rPr>
          <w:vertAlign w:val="superscript"/>
        </w:rPr>
        <w:instrText xml:space="preserve"> NOTEREF _Ref38364310 \h </w:instrText>
      </w:r>
      <w:r w:rsidRPr="00A135B5">
        <w:rPr>
          <w:vertAlign w:val="superscript"/>
        </w:rPr>
      </w:r>
      <w:r>
        <w:rPr>
          <w:vertAlign w:val="superscript"/>
        </w:rPr>
        <w:instrText xml:space="preserve"> \* MERGEFORMAT </w:instrText>
      </w:r>
      <w:r w:rsidRPr="00A135B5">
        <w:rPr>
          <w:vertAlign w:val="superscript"/>
        </w:rPr>
        <w:fldChar w:fldCharType="separate"/>
      </w:r>
      <w:r w:rsidRPr="00A135B5">
        <w:rPr>
          <w:vertAlign w:val="superscript"/>
        </w:rPr>
        <w:t>9</w:t>
      </w:r>
      <w:r w:rsidRPr="00A135B5">
        <w:rPr>
          <w:vertAlign w:val="superscript"/>
        </w:rPr>
        <w:fldChar w:fldCharType="end"/>
      </w:r>
      <w:r>
        <w:t xml:space="preserve">. </w:t>
      </w:r>
    </w:p>
    <w:p w14:paraId="09C86BF4" w14:textId="77777777" w:rsidR="0088742D" w:rsidRPr="000828DD" w:rsidRDefault="0088742D" w:rsidP="0088742D">
      <w:pPr>
        <w:jc w:val="both"/>
      </w:pPr>
      <w:r>
        <w:t>The PharmOutcomes® support pack</w:t>
      </w:r>
      <w:r>
        <w:rPr>
          <w:rStyle w:val="EndnoteReference"/>
        </w:rPr>
        <w:endnoteReference w:id="13"/>
      </w:r>
      <w:r>
        <w:t xml:space="preserve"> and resources available on the PSNC, and East Lancashire Hospital Trust (ELHT) Refer-to-pharmacy (</w:t>
      </w:r>
      <w:hyperlink r:id="rId19" w:history="1">
        <w:r w:rsidRPr="00636E6C">
          <w:rPr>
            <w:rStyle w:val="Hyperlink"/>
          </w:rPr>
          <w:t>https://www.elht.nhs.uk/services/refer/useful-videos</w:t>
        </w:r>
      </w:hyperlink>
      <w:r>
        <w:t>) websites offer exemplar resources to aid in the implementation of a clinical handover service.</w:t>
      </w:r>
    </w:p>
    <w:p w14:paraId="68E23027" w14:textId="77777777" w:rsidR="0088742D" w:rsidRDefault="0088742D" w:rsidP="0088742D">
      <w:pPr>
        <w:sectPr w:rsidR="0088742D">
          <w:endnotePr>
            <w:numFmt w:val="decimal"/>
          </w:endnotePr>
          <w:pgSz w:w="11906" w:h="16838"/>
          <w:pgMar w:top="1440" w:right="1440" w:bottom="1440" w:left="1440" w:header="708" w:footer="708" w:gutter="0"/>
          <w:cols w:space="708"/>
          <w:docGrid w:linePitch="360"/>
        </w:sectPr>
      </w:pPr>
    </w:p>
    <w:p w14:paraId="485E3111" w14:textId="77777777" w:rsidR="0088742D" w:rsidRDefault="0088742D" w:rsidP="0088742D">
      <w:pPr>
        <w:pStyle w:val="Heading1"/>
        <w:keepNext/>
        <w:keepLines/>
        <w:numPr>
          <w:ilvl w:val="0"/>
          <w:numId w:val="17"/>
        </w:numPr>
        <w:spacing w:before="480" w:after="0" w:line="276" w:lineRule="auto"/>
      </w:pPr>
      <w:bookmarkStart w:id="23" w:name="_Toc38369992"/>
      <w:r>
        <w:lastRenderedPageBreak/>
        <w:t>Stakeholder engagement</w:t>
      </w:r>
      <w:bookmarkEnd w:id="23"/>
    </w:p>
    <w:p w14:paraId="608D3E67" w14:textId="77777777" w:rsidR="0088742D" w:rsidRDefault="0088742D" w:rsidP="0088742D">
      <w:pPr>
        <w:jc w:val="both"/>
      </w:pPr>
      <w:r>
        <w:t>All relevant people identified to provide advisory, facilitative roles at the beginning of the project can improve the adoption of clinical handover and ensure the best use of resources.</w:t>
      </w:r>
    </w:p>
    <w:p w14:paraId="259FDE78" w14:textId="77777777" w:rsidR="0088742D" w:rsidRDefault="0088742D" w:rsidP="0088742D">
      <w:pPr>
        <w:pStyle w:val="Heading2"/>
        <w:keepNext/>
        <w:keepLines/>
        <w:numPr>
          <w:ilvl w:val="1"/>
          <w:numId w:val="17"/>
        </w:numPr>
        <w:spacing w:before="480" w:after="120" w:line="276" w:lineRule="auto"/>
        <w:jc w:val="both"/>
      </w:pPr>
      <w:bookmarkStart w:id="24" w:name="_Toc38369993"/>
      <w:r>
        <w:t>Develop a stakeholder engagement strategy</w:t>
      </w:r>
      <w:bookmarkEnd w:id="24"/>
    </w:p>
    <w:p w14:paraId="01266E66" w14:textId="77777777" w:rsidR="0088742D" w:rsidRDefault="0088742D" w:rsidP="0088742D">
      <w:pPr>
        <w:jc w:val="both"/>
      </w:pPr>
      <w:r>
        <w:t>Communication strategies need to be tailored to the nature and context of the individual stakeholder to ensure communication is effective. Regular updates and opportunities to discuss the project are important at all phases of the project.</w:t>
      </w:r>
    </w:p>
    <w:p w14:paraId="3A65F980" w14:textId="77777777" w:rsidR="0088742D" w:rsidRDefault="0088742D" w:rsidP="0088742D">
      <w:pPr>
        <w:jc w:val="both"/>
      </w:pPr>
      <w:r>
        <w:t xml:space="preserve">A multi-method communication plan will help keep all informed at a pace and depth appropriate for each group of stakeholders. </w:t>
      </w:r>
    </w:p>
    <w:p w14:paraId="7521710D" w14:textId="77777777" w:rsidR="0088742D" w:rsidRDefault="0088742D" w:rsidP="0088742D">
      <w:pPr>
        <w:pStyle w:val="Heading2"/>
        <w:keepNext/>
        <w:keepLines/>
        <w:numPr>
          <w:ilvl w:val="1"/>
          <w:numId w:val="17"/>
        </w:numPr>
        <w:spacing w:before="480" w:after="120" w:line="276" w:lineRule="auto"/>
        <w:jc w:val="both"/>
      </w:pPr>
      <w:bookmarkStart w:id="25" w:name="_Toc38369994"/>
      <w:r>
        <w:t>Develop marketing tools</w:t>
      </w:r>
      <w:bookmarkEnd w:id="25"/>
    </w:p>
    <w:p w14:paraId="1EFAE4F4" w14:textId="77777777" w:rsidR="0088742D" w:rsidRDefault="0088742D" w:rsidP="0088742D">
      <w:pPr>
        <w:jc w:val="both"/>
      </w:pPr>
      <w:r>
        <w:t xml:space="preserve">Marketing and promotion will generate interest, engagement and participation in the project. </w:t>
      </w:r>
    </w:p>
    <w:p w14:paraId="1A2E2768" w14:textId="77777777" w:rsidR="0088742D" w:rsidRDefault="0088742D" w:rsidP="0088742D">
      <w:pPr>
        <w:jc w:val="both"/>
      </w:pPr>
      <w:r>
        <w:t>Examples of marketing include:</w:t>
      </w:r>
    </w:p>
    <w:p w14:paraId="77AA6E2F" w14:textId="77777777" w:rsidR="0088742D" w:rsidRDefault="0088742D" w:rsidP="0088742D">
      <w:pPr>
        <w:pStyle w:val="ListParagraph"/>
        <w:numPr>
          <w:ilvl w:val="0"/>
          <w:numId w:val="28"/>
        </w:numPr>
        <w:spacing w:before="120" w:after="120" w:line="276" w:lineRule="auto"/>
        <w:jc w:val="both"/>
      </w:pPr>
      <w:r>
        <w:t>Education or online learning guides</w:t>
      </w:r>
    </w:p>
    <w:p w14:paraId="6052041F" w14:textId="77777777" w:rsidR="0088742D" w:rsidRDefault="0088742D" w:rsidP="0088742D">
      <w:pPr>
        <w:pStyle w:val="ListParagraph"/>
        <w:numPr>
          <w:ilvl w:val="0"/>
          <w:numId w:val="28"/>
        </w:numPr>
        <w:spacing w:before="120" w:after="120" w:line="276" w:lineRule="auto"/>
        <w:jc w:val="both"/>
      </w:pPr>
      <w:r>
        <w:t>Colourful posters, lanyards, pens and notepads with a handover logo and/or slogan</w:t>
      </w:r>
    </w:p>
    <w:p w14:paraId="45750DA0" w14:textId="77777777" w:rsidR="0088742D" w:rsidRDefault="0088742D" w:rsidP="0088742D">
      <w:pPr>
        <w:pStyle w:val="ListParagraph"/>
        <w:numPr>
          <w:ilvl w:val="0"/>
          <w:numId w:val="28"/>
        </w:numPr>
        <w:spacing w:before="120" w:after="120" w:line="276" w:lineRule="auto"/>
        <w:jc w:val="both"/>
      </w:pPr>
      <w:r>
        <w:t>Regular updates to staff and management meetings</w:t>
      </w:r>
    </w:p>
    <w:p w14:paraId="36989056" w14:textId="77777777" w:rsidR="0088742D" w:rsidRDefault="0088742D" w:rsidP="0088742D">
      <w:pPr>
        <w:pStyle w:val="ListParagraph"/>
        <w:numPr>
          <w:ilvl w:val="0"/>
          <w:numId w:val="28"/>
        </w:numPr>
        <w:spacing w:before="120" w:after="120" w:line="276" w:lineRule="auto"/>
        <w:jc w:val="both"/>
      </w:pPr>
      <w:r>
        <w:t>Feedback sessions provided to project team and staff on project success</w:t>
      </w:r>
    </w:p>
    <w:p w14:paraId="15E60B96" w14:textId="77777777" w:rsidR="0088742D" w:rsidRDefault="0088742D" w:rsidP="0088742D">
      <w:pPr>
        <w:jc w:val="both"/>
      </w:pPr>
      <w:r>
        <w:t>On behalf of all AHSNs, Wessex AHSN have developed a ‘Meet Mo’ campaign with accompanying patient-facing videos (</w:t>
      </w:r>
      <w:hyperlink r:id="rId20" w:history="1">
        <w:r w:rsidRPr="00636E6C">
          <w:rPr>
            <w:rStyle w:val="Hyperlink"/>
          </w:rPr>
          <w:t>http://wessexahsn.org.uk/projects/171/meet-mo</w:t>
        </w:r>
      </w:hyperlink>
      <w:r>
        <w:t>) that encourage patients to engage with community pharmacy when moving back home after a hospital stay and will their medicines usage.</w:t>
      </w:r>
    </w:p>
    <w:p w14:paraId="355732E3" w14:textId="77777777" w:rsidR="0088742D" w:rsidRDefault="0088742D" w:rsidP="0088742D">
      <w:pPr>
        <w:jc w:val="both"/>
      </w:pPr>
      <w:r>
        <w:t>The East Lancashire Hospitals NHS Trust Refer-to-Pharmacy scheme dedicated time and resource to develop patient, staff and stakeholder videos for the purpose of marketing to these groups.</w:t>
      </w:r>
    </w:p>
    <w:p w14:paraId="6D480D8C" w14:textId="77777777" w:rsidR="0088742D" w:rsidRDefault="0088742D" w:rsidP="0088742D">
      <w:pPr>
        <w:jc w:val="both"/>
      </w:pPr>
      <w:r>
        <w:t>Experience from established implementers report the significance of launch and sharing and feedback events to engage stakeholders from the start and maintain interest and sustainability. UCLPartners can support by providing relevant case studies if required. This is a powerful marketing, motivating and engaging resource that has impact across all stakeholder groups, providers and patients.</w:t>
      </w:r>
    </w:p>
    <w:p w14:paraId="003CA0F6" w14:textId="77777777" w:rsidR="0088742D" w:rsidRDefault="0088742D" w:rsidP="0088742D">
      <w:pPr>
        <w:jc w:val="both"/>
      </w:pPr>
      <w:r>
        <w:t>Local launch and milestone events also serve to invigorate engagement, investment and delivery.</w:t>
      </w:r>
    </w:p>
    <w:p w14:paraId="30F79C77" w14:textId="77777777" w:rsidR="0088742D" w:rsidRDefault="0088742D" w:rsidP="0088742D">
      <w:pPr>
        <w:pStyle w:val="Heading2"/>
        <w:keepNext/>
        <w:keepLines/>
        <w:numPr>
          <w:ilvl w:val="1"/>
          <w:numId w:val="17"/>
        </w:numPr>
        <w:spacing w:before="480" w:after="120" w:line="276" w:lineRule="auto"/>
        <w:jc w:val="both"/>
      </w:pPr>
      <w:bookmarkStart w:id="26" w:name="_Toc38369995"/>
      <w:r>
        <w:t>Engage change champions</w:t>
      </w:r>
      <w:bookmarkEnd w:id="26"/>
    </w:p>
    <w:p w14:paraId="263A4352" w14:textId="77777777" w:rsidR="0088742D" w:rsidRDefault="0088742D" w:rsidP="0088742D">
      <w:pPr>
        <w:jc w:val="both"/>
      </w:pPr>
      <w:r>
        <w:t>Successful projects are driven by a dedicated person, or team of people, with a relentless drive to overcome barriers and achieve change to practice.</w:t>
      </w:r>
    </w:p>
    <w:p w14:paraId="24356A98" w14:textId="77777777" w:rsidR="0088742D" w:rsidRDefault="0088742D" w:rsidP="0088742D">
      <w:pPr>
        <w:jc w:val="both"/>
      </w:pPr>
      <w:r>
        <w:lastRenderedPageBreak/>
        <w:t xml:space="preserve">Around the country there are recognised project team members who have driven the initiative and sustain engagement. UCLPartners can supporting by linking partner organisations to share experience of launching TCAM processes and sharing learning. </w:t>
      </w:r>
    </w:p>
    <w:p w14:paraId="30471FD6" w14:textId="77777777" w:rsidR="0088742D" w:rsidRDefault="0088742D" w:rsidP="0088742D">
      <w:pPr>
        <w:pStyle w:val="Heading1"/>
        <w:keepNext/>
        <w:keepLines/>
        <w:numPr>
          <w:ilvl w:val="0"/>
          <w:numId w:val="17"/>
        </w:numPr>
        <w:spacing w:before="480" w:after="0" w:line="276" w:lineRule="auto"/>
        <w:jc w:val="both"/>
      </w:pPr>
      <w:bookmarkStart w:id="27" w:name="_Toc38369996"/>
      <w:r>
        <w:t>Implementation</w:t>
      </w:r>
      <w:bookmarkEnd w:id="27"/>
    </w:p>
    <w:p w14:paraId="339D2DAF" w14:textId="77777777" w:rsidR="0088742D" w:rsidRDefault="0088742D" w:rsidP="0088742D">
      <w:pPr>
        <w:jc w:val="both"/>
      </w:pPr>
      <w:r>
        <w:t>All developmental phases until this point are to ensure implementation is as well planned out as it can be before embarking on change.</w:t>
      </w:r>
    </w:p>
    <w:p w14:paraId="2FEE5D5B" w14:textId="77777777" w:rsidR="0088742D" w:rsidRDefault="0088742D" w:rsidP="0088742D">
      <w:pPr>
        <w:jc w:val="both"/>
      </w:pPr>
      <w:r>
        <w:t>Successful implementation will require ongoing staff commitment as well as the use of support materials including memory triggers, education materials and information tools. The implementation process should make sure that staff receive positive feedback and successes are celebrated with the project team.</w:t>
      </w:r>
    </w:p>
    <w:p w14:paraId="66802A2C" w14:textId="77777777" w:rsidR="0088742D" w:rsidRDefault="0088742D" w:rsidP="0088742D">
      <w:pPr>
        <w:pStyle w:val="Heading2"/>
        <w:keepNext/>
        <w:keepLines/>
        <w:numPr>
          <w:ilvl w:val="1"/>
          <w:numId w:val="17"/>
        </w:numPr>
        <w:spacing w:before="480" w:after="120" w:line="276" w:lineRule="auto"/>
        <w:jc w:val="both"/>
      </w:pPr>
      <w:bookmarkStart w:id="28" w:name="_Toc38369997"/>
      <w:r>
        <w:t>Develop a plan for implementation</w:t>
      </w:r>
      <w:bookmarkEnd w:id="28"/>
    </w:p>
    <w:p w14:paraId="5DDECA13" w14:textId="77777777" w:rsidR="0088742D" w:rsidRDefault="0088742D" w:rsidP="0088742D">
      <w:pPr>
        <w:jc w:val="both"/>
      </w:pPr>
      <w:r>
        <w:t xml:space="preserve">In </w:t>
      </w:r>
      <w:r w:rsidRPr="000A20B7">
        <w:rPr>
          <w:b/>
        </w:rPr>
        <w:t>section 2.4</w:t>
      </w:r>
      <w:r>
        <w:t xml:space="preserve"> process steps were suggested which also form the basis of an implementation could plan for the early development. Further elements to consider are presented in </w:t>
      </w:r>
      <w:r w:rsidRPr="00D35280">
        <w:rPr>
          <w:b/>
        </w:rPr>
        <w:t>Table 2</w:t>
      </w:r>
      <w:r>
        <w:t>.</w:t>
      </w:r>
    </w:p>
    <w:p w14:paraId="46FB30EA" w14:textId="77777777" w:rsidR="0088742D" w:rsidRDefault="0088742D" w:rsidP="0088742D"/>
    <w:p w14:paraId="2D905E12" w14:textId="77777777" w:rsidR="0088742D" w:rsidRDefault="0088742D" w:rsidP="0088742D"/>
    <w:p w14:paraId="1675A2F2" w14:textId="77777777" w:rsidR="0088742D" w:rsidRDefault="0088742D" w:rsidP="0088742D"/>
    <w:p w14:paraId="39F8DF8D" w14:textId="77777777" w:rsidR="0088742D" w:rsidRDefault="0088742D" w:rsidP="0088742D"/>
    <w:p w14:paraId="1BA5028F" w14:textId="77777777" w:rsidR="0088742D" w:rsidRDefault="0088742D" w:rsidP="0088742D"/>
    <w:p w14:paraId="245FF5BA" w14:textId="77777777" w:rsidR="0088742D" w:rsidRDefault="0088742D" w:rsidP="0088742D"/>
    <w:p w14:paraId="1062A8E1" w14:textId="77777777" w:rsidR="0088742D" w:rsidRDefault="0088742D" w:rsidP="0088742D"/>
    <w:p w14:paraId="33F57E14" w14:textId="77777777" w:rsidR="0088742D" w:rsidRDefault="0088742D" w:rsidP="0088742D"/>
    <w:p w14:paraId="6BF2A3E6" w14:textId="77777777" w:rsidR="0088742D" w:rsidRDefault="0088742D" w:rsidP="0088742D"/>
    <w:p w14:paraId="56869834" w14:textId="77777777" w:rsidR="0088742D" w:rsidRDefault="0088742D" w:rsidP="0088742D"/>
    <w:p w14:paraId="0489E13B" w14:textId="77777777" w:rsidR="0088742D" w:rsidRDefault="0088742D" w:rsidP="0088742D"/>
    <w:p w14:paraId="38923BD9" w14:textId="77777777" w:rsidR="0088742D" w:rsidRDefault="0088742D" w:rsidP="0088742D"/>
    <w:p w14:paraId="5D0EBC23" w14:textId="77777777" w:rsidR="0088742D" w:rsidRDefault="0088742D" w:rsidP="0088742D"/>
    <w:p w14:paraId="19546F6C" w14:textId="77777777" w:rsidR="0088742D" w:rsidRDefault="0088742D" w:rsidP="0088742D"/>
    <w:p w14:paraId="57433A81" w14:textId="77777777" w:rsidR="0088742D" w:rsidRDefault="0088742D" w:rsidP="0088742D"/>
    <w:p w14:paraId="49285083" w14:textId="77777777" w:rsidR="0088742D" w:rsidRDefault="0088742D" w:rsidP="0088742D"/>
    <w:p w14:paraId="2AA58FC7" w14:textId="77777777" w:rsidR="0088742D" w:rsidRDefault="0088742D" w:rsidP="0088742D"/>
    <w:p w14:paraId="2C898522" w14:textId="77777777" w:rsidR="0088742D" w:rsidRDefault="0088742D" w:rsidP="0088742D"/>
    <w:p w14:paraId="32C539E7" w14:textId="77777777" w:rsidR="0088742D" w:rsidRDefault="0088742D" w:rsidP="0088742D"/>
    <w:p w14:paraId="534B1082" w14:textId="77777777" w:rsidR="0088742D" w:rsidRPr="007D5F52" w:rsidRDefault="0088742D" w:rsidP="0088742D">
      <w:pPr>
        <w:rPr>
          <w:b/>
        </w:rPr>
      </w:pPr>
      <w:r w:rsidRPr="007D5F52">
        <w:rPr>
          <w:b/>
        </w:rPr>
        <w:t>Table 2.</w:t>
      </w:r>
      <w:r>
        <w:rPr>
          <w:b/>
        </w:rPr>
        <w:t xml:space="preserve"> </w:t>
      </w:r>
      <w:r w:rsidRPr="00C6097E">
        <w:t xml:space="preserve">An </w:t>
      </w:r>
      <w:r>
        <w:t>example</w:t>
      </w:r>
      <w:r w:rsidRPr="00C6097E">
        <w:t xml:space="preserve"> implementation plan</w:t>
      </w:r>
    </w:p>
    <w:tbl>
      <w:tblPr>
        <w:tblStyle w:val="GridTable4-Accent51"/>
        <w:tblW w:w="9192" w:type="dxa"/>
        <w:tblLook w:val="04A0" w:firstRow="1" w:lastRow="0" w:firstColumn="1" w:lastColumn="0" w:noHBand="0" w:noVBand="1"/>
      </w:tblPr>
      <w:tblGrid>
        <w:gridCol w:w="3321"/>
        <w:gridCol w:w="2023"/>
        <w:gridCol w:w="812"/>
        <w:gridCol w:w="745"/>
        <w:gridCol w:w="1171"/>
        <w:gridCol w:w="1120"/>
      </w:tblGrid>
      <w:tr w:rsidR="0088742D" w:rsidRPr="00D35280" w14:paraId="45954BD3" w14:textId="77777777" w:rsidTr="0088742D">
        <w:trPr>
          <w:cnfStyle w:val="100000000000" w:firstRow="1" w:lastRow="0" w:firstColumn="0" w:lastColumn="0" w:oddVBand="0" w:evenVBand="0" w:oddHBand="0" w:evenHBand="0" w:firstRowFirstColumn="0" w:firstRowLastColumn="0" w:lastRowFirstColumn="0" w:lastRowLastColumn="0"/>
          <w:trHeight w:val="1025"/>
        </w:trPr>
        <w:tc>
          <w:tcPr>
            <w:cnfStyle w:val="001000000000" w:firstRow="0" w:lastRow="0" w:firstColumn="1" w:lastColumn="0" w:oddVBand="0" w:evenVBand="0" w:oddHBand="0" w:evenHBand="0" w:firstRowFirstColumn="0" w:firstRowLastColumn="0" w:lastRowFirstColumn="0" w:lastRowLastColumn="0"/>
            <w:tcW w:w="3321" w:type="dxa"/>
          </w:tcPr>
          <w:p w14:paraId="01C530E9" w14:textId="5383B8AC" w:rsidR="0088742D" w:rsidRPr="00D35280" w:rsidRDefault="0088742D" w:rsidP="0088742D">
            <w:pPr>
              <w:rPr>
                <w:color w:val="auto"/>
              </w:rPr>
            </w:pPr>
            <w:r>
              <w:rPr>
                <w:color w:val="auto"/>
              </w:rPr>
              <w:t>Implementation s</w:t>
            </w:r>
            <w:r w:rsidRPr="00D35280">
              <w:rPr>
                <w:color w:val="auto"/>
              </w:rPr>
              <w:t xml:space="preserve">tep </w:t>
            </w:r>
          </w:p>
        </w:tc>
        <w:tc>
          <w:tcPr>
            <w:tcW w:w="2023" w:type="dxa"/>
          </w:tcPr>
          <w:p w14:paraId="04F1FA6B" w14:textId="77777777" w:rsidR="0088742D" w:rsidRPr="00D35280" w:rsidRDefault="0088742D" w:rsidP="0088742D">
            <w:pPr>
              <w:cnfStyle w:val="100000000000" w:firstRow="1" w:lastRow="0" w:firstColumn="0" w:lastColumn="0" w:oddVBand="0" w:evenVBand="0" w:oddHBand="0" w:evenHBand="0" w:firstRowFirstColumn="0" w:firstRowLastColumn="0" w:lastRowFirstColumn="0" w:lastRowLastColumn="0"/>
              <w:rPr>
                <w:color w:val="auto"/>
              </w:rPr>
            </w:pPr>
            <w:r w:rsidRPr="00D35280">
              <w:rPr>
                <w:color w:val="auto"/>
              </w:rPr>
              <w:t xml:space="preserve">Actions </w:t>
            </w:r>
          </w:p>
        </w:tc>
        <w:tc>
          <w:tcPr>
            <w:tcW w:w="812" w:type="dxa"/>
          </w:tcPr>
          <w:p w14:paraId="52208EF3" w14:textId="77777777" w:rsidR="0088742D" w:rsidRPr="00D35280" w:rsidRDefault="0088742D" w:rsidP="0088742D">
            <w:pPr>
              <w:cnfStyle w:val="100000000000" w:firstRow="1" w:lastRow="0" w:firstColumn="0" w:lastColumn="0" w:oddVBand="0" w:evenVBand="0" w:oddHBand="0" w:evenHBand="0" w:firstRowFirstColumn="0" w:firstRowLastColumn="0" w:lastRowFirstColumn="0" w:lastRowLastColumn="0"/>
              <w:rPr>
                <w:color w:val="auto"/>
              </w:rPr>
            </w:pPr>
            <w:r w:rsidRPr="00D35280">
              <w:rPr>
                <w:color w:val="auto"/>
              </w:rPr>
              <w:t xml:space="preserve">By </w:t>
            </w:r>
            <w:proofErr w:type="gramStart"/>
            <w:r w:rsidRPr="00D35280">
              <w:rPr>
                <w:color w:val="auto"/>
              </w:rPr>
              <w:t>who</w:t>
            </w:r>
            <w:proofErr w:type="gramEnd"/>
          </w:p>
        </w:tc>
        <w:tc>
          <w:tcPr>
            <w:tcW w:w="745" w:type="dxa"/>
          </w:tcPr>
          <w:p w14:paraId="4618D3F6" w14:textId="77777777" w:rsidR="0088742D" w:rsidRPr="00D35280" w:rsidRDefault="0088742D" w:rsidP="0088742D">
            <w:pPr>
              <w:cnfStyle w:val="100000000000" w:firstRow="1" w:lastRow="0" w:firstColumn="0" w:lastColumn="0" w:oddVBand="0" w:evenVBand="0" w:oddHBand="0" w:evenHBand="0" w:firstRowFirstColumn="0" w:firstRowLastColumn="0" w:lastRowFirstColumn="0" w:lastRowLastColumn="0"/>
              <w:rPr>
                <w:color w:val="auto"/>
              </w:rPr>
            </w:pPr>
            <w:r w:rsidRPr="00D35280">
              <w:rPr>
                <w:color w:val="auto"/>
              </w:rPr>
              <w:t>By when</w:t>
            </w:r>
          </w:p>
        </w:tc>
        <w:tc>
          <w:tcPr>
            <w:tcW w:w="1171" w:type="dxa"/>
          </w:tcPr>
          <w:p w14:paraId="4188712A" w14:textId="77777777" w:rsidR="0088742D" w:rsidRPr="00D35280" w:rsidRDefault="0088742D" w:rsidP="0088742D">
            <w:pPr>
              <w:cnfStyle w:val="100000000000" w:firstRow="1" w:lastRow="0" w:firstColumn="0" w:lastColumn="0" w:oddVBand="0" w:evenVBand="0" w:oddHBand="0" w:evenHBand="0" w:firstRowFirstColumn="0" w:firstRowLastColumn="0" w:lastRowFirstColumn="0" w:lastRowLastColumn="0"/>
              <w:rPr>
                <w:color w:val="auto"/>
              </w:rPr>
            </w:pPr>
            <w:r w:rsidRPr="00D35280">
              <w:rPr>
                <w:color w:val="auto"/>
              </w:rPr>
              <w:t>Resources needed</w:t>
            </w:r>
          </w:p>
        </w:tc>
        <w:tc>
          <w:tcPr>
            <w:tcW w:w="1120" w:type="dxa"/>
          </w:tcPr>
          <w:p w14:paraId="2A6A2835" w14:textId="77777777" w:rsidR="0088742D" w:rsidRPr="00D35280" w:rsidRDefault="0088742D" w:rsidP="0088742D">
            <w:pPr>
              <w:cnfStyle w:val="100000000000" w:firstRow="1" w:lastRow="0" w:firstColumn="0" w:lastColumn="0" w:oddVBand="0" w:evenVBand="0" w:oddHBand="0" w:evenHBand="0" w:firstRowFirstColumn="0" w:firstRowLastColumn="0" w:lastRowFirstColumn="0" w:lastRowLastColumn="0"/>
              <w:rPr>
                <w:color w:val="auto"/>
              </w:rPr>
            </w:pPr>
            <w:r w:rsidRPr="00D35280">
              <w:rPr>
                <w:color w:val="auto"/>
              </w:rPr>
              <w:t>Progress measures</w:t>
            </w:r>
          </w:p>
        </w:tc>
      </w:tr>
      <w:tr w:rsidR="0088742D" w:rsidRPr="00D35280" w14:paraId="16E3E0D6" w14:textId="77777777" w:rsidTr="0088742D">
        <w:trPr>
          <w:cnfStyle w:val="000000100000" w:firstRow="0" w:lastRow="0" w:firstColumn="0" w:lastColumn="0" w:oddVBand="0" w:evenVBand="0" w:oddHBand="1" w:evenHBand="0" w:firstRowFirstColumn="0" w:firstRowLastColumn="0" w:lastRowFirstColumn="0" w:lastRowLastColumn="0"/>
          <w:trHeight w:val="805"/>
        </w:trPr>
        <w:tc>
          <w:tcPr>
            <w:cnfStyle w:val="001000000000" w:firstRow="0" w:lastRow="0" w:firstColumn="1" w:lastColumn="0" w:oddVBand="0" w:evenVBand="0" w:oddHBand="0" w:evenHBand="0" w:firstRowFirstColumn="0" w:firstRowLastColumn="0" w:lastRowFirstColumn="0" w:lastRowLastColumn="0"/>
            <w:tcW w:w="3321" w:type="dxa"/>
          </w:tcPr>
          <w:p w14:paraId="0B8ABDF0" w14:textId="77777777" w:rsidR="0088742D" w:rsidRPr="00D35280" w:rsidRDefault="0088742D" w:rsidP="0088742D">
            <w:r w:rsidRPr="00D35280">
              <w:t>Decide specific implementation processes and strategies</w:t>
            </w:r>
          </w:p>
        </w:tc>
        <w:tc>
          <w:tcPr>
            <w:tcW w:w="2023" w:type="dxa"/>
          </w:tcPr>
          <w:p w14:paraId="64A56352" w14:textId="77777777" w:rsidR="0088742D" w:rsidRPr="00D35280" w:rsidRDefault="0088742D" w:rsidP="0088742D">
            <w:pPr>
              <w:cnfStyle w:val="000000100000" w:firstRow="0" w:lastRow="0" w:firstColumn="0" w:lastColumn="0" w:oddVBand="0" w:evenVBand="0" w:oddHBand="1" w:evenHBand="0" w:firstRowFirstColumn="0" w:firstRowLastColumn="0" w:lastRowFirstColumn="0" w:lastRowLastColumn="0"/>
              <w:rPr>
                <w:i/>
              </w:rPr>
            </w:pPr>
            <w:r w:rsidRPr="00D35280">
              <w:rPr>
                <w:i/>
                <w:sz w:val="20"/>
              </w:rPr>
              <w:t>Develop education material</w:t>
            </w:r>
            <w:r>
              <w:rPr>
                <w:i/>
                <w:sz w:val="20"/>
              </w:rPr>
              <w:t>, etc.</w:t>
            </w:r>
          </w:p>
        </w:tc>
        <w:tc>
          <w:tcPr>
            <w:tcW w:w="812" w:type="dxa"/>
          </w:tcPr>
          <w:p w14:paraId="37E03767" w14:textId="77777777" w:rsidR="0088742D" w:rsidRPr="00D35280" w:rsidRDefault="0088742D" w:rsidP="0088742D">
            <w:pPr>
              <w:cnfStyle w:val="000000100000" w:firstRow="0" w:lastRow="0" w:firstColumn="0" w:lastColumn="0" w:oddVBand="0" w:evenVBand="0" w:oddHBand="1" w:evenHBand="0" w:firstRowFirstColumn="0" w:firstRowLastColumn="0" w:lastRowFirstColumn="0" w:lastRowLastColumn="0"/>
            </w:pPr>
          </w:p>
        </w:tc>
        <w:tc>
          <w:tcPr>
            <w:tcW w:w="745" w:type="dxa"/>
          </w:tcPr>
          <w:p w14:paraId="2FBA3280" w14:textId="77777777" w:rsidR="0088742D" w:rsidRPr="00D35280" w:rsidRDefault="0088742D" w:rsidP="0088742D">
            <w:pPr>
              <w:cnfStyle w:val="000000100000" w:firstRow="0" w:lastRow="0" w:firstColumn="0" w:lastColumn="0" w:oddVBand="0" w:evenVBand="0" w:oddHBand="1" w:evenHBand="0" w:firstRowFirstColumn="0" w:firstRowLastColumn="0" w:lastRowFirstColumn="0" w:lastRowLastColumn="0"/>
            </w:pPr>
          </w:p>
        </w:tc>
        <w:tc>
          <w:tcPr>
            <w:tcW w:w="1171" w:type="dxa"/>
          </w:tcPr>
          <w:p w14:paraId="1530284D" w14:textId="77777777" w:rsidR="0088742D" w:rsidRPr="00D35280" w:rsidRDefault="0088742D" w:rsidP="0088742D">
            <w:pPr>
              <w:cnfStyle w:val="000000100000" w:firstRow="0" w:lastRow="0" w:firstColumn="0" w:lastColumn="0" w:oddVBand="0" w:evenVBand="0" w:oddHBand="1" w:evenHBand="0" w:firstRowFirstColumn="0" w:firstRowLastColumn="0" w:lastRowFirstColumn="0" w:lastRowLastColumn="0"/>
            </w:pPr>
          </w:p>
        </w:tc>
        <w:tc>
          <w:tcPr>
            <w:tcW w:w="1120" w:type="dxa"/>
          </w:tcPr>
          <w:p w14:paraId="7386D69B" w14:textId="77777777" w:rsidR="0088742D" w:rsidRPr="00D35280" w:rsidRDefault="0088742D" w:rsidP="0088742D">
            <w:pPr>
              <w:cnfStyle w:val="000000100000" w:firstRow="0" w:lastRow="0" w:firstColumn="0" w:lastColumn="0" w:oddVBand="0" w:evenVBand="0" w:oddHBand="1" w:evenHBand="0" w:firstRowFirstColumn="0" w:firstRowLastColumn="0" w:lastRowFirstColumn="0" w:lastRowLastColumn="0"/>
            </w:pPr>
          </w:p>
        </w:tc>
      </w:tr>
      <w:tr w:rsidR="0088742D" w:rsidRPr="00D35280" w14:paraId="6FEC1409" w14:textId="77777777" w:rsidTr="0088742D">
        <w:trPr>
          <w:trHeight w:val="1612"/>
        </w:trPr>
        <w:tc>
          <w:tcPr>
            <w:cnfStyle w:val="001000000000" w:firstRow="0" w:lastRow="0" w:firstColumn="1" w:lastColumn="0" w:oddVBand="0" w:evenVBand="0" w:oddHBand="0" w:evenHBand="0" w:firstRowFirstColumn="0" w:firstRowLastColumn="0" w:lastRowFirstColumn="0" w:lastRowLastColumn="0"/>
            <w:tcW w:w="3321" w:type="dxa"/>
          </w:tcPr>
          <w:p w14:paraId="3F353434" w14:textId="77777777" w:rsidR="0088742D" w:rsidRPr="00D35280" w:rsidRDefault="0088742D" w:rsidP="0088742D">
            <w:r w:rsidRPr="00D35280">
              <w:t>Develop communication plan</w:t>
            </w:r>
          </w:p>
          <w:p w14:paraId="77208D26" w14:textId="77777777" w:rsidR="0088742D" w:rsidRPr="00D35280" w:rsidRDefault="0088742D" w:rsidP="0088742D">
            <w:pPr>
              <w:rPr>
                <w:b w:val="0"/>
                <w:i/>
                <w:sz w:val="20"/>
              </w:rPr>
            </w:pPr>
            <w:r w:rsidRPr="00D35280">
              <w:rPr>
                <w:b w:val="0"/>
                <w:i/>
                <w:sz w:val="20"/>
              </w:rPr>
              <w:t>How will information be communicated</w:t>
            </w:r>
          </w:p>
          <w:p w14:paraId="36D3D7FA" w14:textId="77777777" w:rsidR="0088742D" w:rsidRPr="00D35280" w:rsidRDefault="0088742D" w:rsidP="0088742D">
            <w:r w:rsidRPr="00D35280">
              <w:rPr>
                <w:b w:val="0"/>
                <w:i/>
                <w:sz w:val="20"/>
              </w:rPr>
              <w:t>When/how often information will be communicated</w:t>
            </w:r>
          </w:p>
        </w:tc>
        <w:tc>
          <w:tcPr>
            <w:tcW w:w="2023" w:type="dxa"/>
          </w:tcPr>
          <w:p w14:paraId="78115E52" w14:textId="77777777" w:rsidR="0088742D" w:rsidRDefault="0088742D" w:rsidP="0088742D">
            <w:pPr>
              <w:cnfStyle w:val="000000000000" w:firstRow="0" w:lastRow="0" w:firstColumn="0" w:lastColumn="0" w:oddVBand="0" w:evenVBand="0" w:oddHBand="0" w:evenHBand="0" w:firstRowFirstColumn="0" w:firstRowLastColumn="0" w:lastRowFirstColumn="0" w:lastRowLastColumn="0"/>
              <w:rPr>
                <w:i/>
                <w:sz w:val="20"/>
              </w:rPr>
            </w:pPr>
            <w:r w:rsidRPr="00D35280">
              <w:rPr>
                <w:i/>
                <w:sz w:val="20"/>
              </w:rPr>
              <w:t>Set a launch date</w:t>
            </w:r>
            <w:r>
              <w:rPr>
                <w:i/>
                <w:sz w:val="20"/>
              </w:rPr>
              <w:t xml:space="preserve"> to raise awareness and increase engagement</w:t>
            </w:r>
          </w:p>
          <w:p w14:paraId="4D5C5B16" w14:textId="77777777" w:rsidR="0088742D" w:rsidRPr="00D35280" w:rsidRDefault="0088742D" w:rsidP="0088742D">
            <w:pPr>
              <w:cnfStyle w:val="000000000000" w:firstRow="0" w:lastRow="0" w:firstColumn="0" w:lastColumn="0" w:oddVBand="0" w:evenVBand="0" w:oddHBand="0" w:evenHBand="0" w:firstRowFirstColumn="0" w:firstRowLastColumn="0" w:lastRowFirstColumn="0" w:lastRowLastColumn="0"/>
              <w:rPr>
                <w:i/>
              </w:rPr>
            </w:pPr>
            <w:r>
              <w:rPr>
                <w:i/>
                <w:sz w:val="20"/>
              </w:rPr>
              <w:t>Set dissemination, milestone and celebratory events</w:t>
            </w:r>
          </w:p>
        </w:tc>
        <w:tc>
          <w:tcPr>
            <w:tcW w:w="812" w:type="dxa"/>
          </w:tcPr>
          <w:p w14:paraId="6B1F3906" w14:textId="77777777" w:rsidR="0088742D" w:rsidRPr="00D35280" w:rsidRDefault="0088742D" w:rsidP="0088742D">
            <w:pPr>
              <w:cnfStyle w:val="000000000000" w:firstRow="0" w:lastRow="0" w:firstColumn="0" w:lastColumn="0" w:oddVBand="0" w:evenVBand="0" w:oddHBand="0" w:evenHBand="0" w:firstRowFirstColumn="0" w:firstRowLastColumn="0" w:lastRowFirstColumn="0" w:lastRowLastColumn="0"/>
            </w:pPr>
          </w:p>
        </w:tc>
        <w:tc>
          <w:tcPr>
            <w:tcW w:w="745" w:type="dxa"/>
          </w:tcPr>
          <w:p w14:paraId="27DB99CF" w14:textId="77777777" w:rsidR="0088742D" w:rsidRPr="00D35280" w:rsidRDefault="0088742D" w:rsidP="0088742D">
            <w:pPr>
              <w:cnfStyle w:val="000000000000" w:firstRow="0" w:lastRow="0" w:firstColumn="0" w:lastColumn="0" w:oddVBand="0" w:evenVBand="0" w:oddHBand="0" w:evenHBand="0" w:firstRowFirstColumn="0" w:firstRowLastColumn="0" w:lastRowFirstColumn="0" w:lastRowLastColumn="0"/>
            </w:pPr>
          </w:p>
        </w:tc>
        <w:tc>
          <w:tcPr>
            <w:tcW w:w="1171" w:type="dxa"/>
          </w:tcPr>
          <w:p w14:paraId="2EA87324" w14:textId="77777777" w:rsidR="0088742D" w:rsidRPr="00D35280" w:rsidRDefault="0088742D" w:rsidP="0088742D">
            <w:pPr>
              <w:cnfStyle w:val="000000000000" w:firstRow="0" w:lastRow="0" w:firstColumn="0" w:lastColumn="0" w:oddVBand="0" w:evenVBand="0" w:oddHBand="0" w:evenHBand="0" w:firstRowFirstColumn="0" w:firstRowLastColumn="0" w:lastRowFirstColumn="0" w:lastRowLastColumn="0"/>
            </w:pPr>
          </w:p>
        </w:tc>
        <w:tc>
          <w:tcPr>
            <w:tcW w:w="1120" w:type="dxa"/>
          </w:tcPr>
          <w:p w14:paraId="0F55F6DC" w14:textId="77777777" w:rsidR="0088742D" w:rsidRPr="00D35280" w:rsidRDefault="0088742D" w:rsidP="0088742D">
            <w:pPr>
              <w:cnfStyle w:val="000000000000" w:firstRow="0" w:lastRow="0" w:firstColumn="0" w:lastColumn="0" w:oddVBand="0" w:evenVBand="0" w:oddHBand="0" w:evenHBand="0" w:firstRowFirstColumn="0" w:firstRowLastColumn="0" w:lastRowFirstColumn="0" w:lastRowLastColumn="0"/>
            </w:pPr>
          </w:p>
        </w:tc>
      </w:tr>
      <w:tr w:rsidR="0088742D" w:rsidRPr="00D35280" w14:paraId="07C0E6FE" w14:textId="77777777" w:rsidTr="0088742D">
        <w:trPr>
          <w:cnfStyle w:val="000000100000" w:firstRow="0" w:lastRow="0" w:firstColumn="0" w:lastColumn="0" w:oddVBand="0" w:evenVBand="0" w:oddHBand="1" w:evenHBand="0" w:firstRowFirstColumn="0" w:firstRowLastColumn="0" w:lastRowFirstColumn="0" w:lastRowLastColumn="0"/>
          <w:trHeight w:val="1319"/>
        </w:trPr>
        <w:tc>
          <w:tcPr>
            <w:cnfStyle w:val="001000000000" w:firstRow="0" w:lastRow="0" w:firstColumn="1" w:lastColumn="0" w:oddVBand="0" w:evenVBand="0" w:oddHBand="0" w:evenHBand="0" w:firstRowFirstColumn="0" w:firstRowLastColumn="0" w:lastRowFirstColumn="0" w:lastRowLastColumn="0"/>
            <w:tcW w:w="3321" w:type="dxa"/>
          </w:tcPr>
          <w:p w14:paraId="4EC98D5D" w14:textId="77777777" w:rsidR="0088742D" w:rsidRPr="00D35280" w:rsidRDefault="0088742D" w:rsidP="0088742D">
            <w:pPr>
              <w:rPr>
                <w:i/>
                <w:sz w:val="20"/>
              </w:rPr>
            </w:pPr>
            <w:r w:rsidRPr="00D35280">
              <w:t>Risk assessment of action plan</w:t>
            </w:r>
          </w:p>
          <w:p w14:paraId="2540F870" w14:textId="77777777" w:rsidR="0088742D" w:rsidRPr="00D35280" w:rsidRDefault="0088742D" w:rsidP="0088742D">
            <w:pPr>
              <w:rPr>
                <w:b w:val="0"/>
                <w:i/>
                <w:sz w:val="20"/>
              </w:rPr>
            </w:pPr>
            <w:r w:rsidRPr="00D35280">
              <w:rPr>
                <w:b w:val="0"/>
                <w:i/>
                <w:sz w:val="20"/>
              </w:rPr>
              <w:t>Trouble shoot plan to identify barriers</w:t>
            </w:r>
          </w:p>
          <w:p w14:paraId="48879763" w14:textId="77777777" w:rsidR="0088742D" w:rsidRPr="00D35280" w:rsidRDefault="0088742D" w:rsidP="0088742D">
            <w:r w:rsidRPr="00D35280">
              <w:rPr>
                <w:b w:val="0"/>
                <w:i/>
                <w:sz w:val="20"/>
              </w:rPr>
              <w:t>List strategies to overcome</w:t>
            </w:r>
          </w:p>
        </w:tc>
        <w:tc>
          <w:tcPr>
            <w:tcW w:w="2023" w:type="dxa"/>
          </w:tcPr>
          <w:p w14:paraId="14C77B5F" w14:textId="77777777" w:rsidR="0088742D" w:rsidRPr="00D35280" w:rsidRDefault="0088742D" w:rsidP="0088742D">
            <w:pPr>
              <w:cnfStyle w:val="000000100000" w:firstRow="0" w:lastRow="0" w:firstColumn="0" w:lastColumn="0" w:oddVBand="0" w:evenVBand="0" w:oddHBand="1" w:evenHBand="0" w:firstRowFirstColumn="0" w:firstRowLastColumn="0" w:lastRowFirstColumn="0" w:lastRowLastColumn="0"/>
              <w:rPr>
                <w:i/>
              </w:rPr>
            </w:pPr>
            <w:r w:rsidRPr="00D35280">
              <w:rPr>
                <w:i/>
                <w:sz w:val="20"/>
              </w:rPr>
              <w:t>Short staffing over winter mitigate by…, etc.</w:t>
            </w:r>
          </w:p>
        </w:tc>
        <w:tc>
          <w:tcPr>
            <w:tcW w:w="812" w:type="dxa"/>
          </w:tcPr>
          <w:p w14:paraId="43D4AD26" w14:textId="77777777" w:rsidR="0088742D" w:rsidRPr="00D35280" w:rsidRDefault="0088742D" w:rsidP="0088742D">
            <w:pPr>
              <w:cnfStyle w:val="000000100000" w:firstRow="0" w:lastRow="0" w:firstColumn="0" w:lastColumn="0" w:oddVBand="0" w:evenVBand="0" w:oddHBand="1" w:evenHBand="0" w:firstRowFirstColumn="0" w:firstRowLastColumn="0" w:lastRowFirstColumn="0" w:lastRowLastColumn="0"/>
            </w:pPr>
          </w:p>
        </w:tc>
        <w:tc>
          <w:tcPr>
            <w:tcW w:w="745" w:type="dxa"/>
          </w:tcPr>
          <w:p w14:paraId="51036924" w14:textId="77777777" w:rsidR="0088742D" w:rsidRPr="00D35280" w:rsidRDefault="0088742D" w:rsidP="0088742D">
            <w:pPr>
              <w:cnfStyle w:val="000000100000" w:firstRow="0" w:lastRow="0" w:firstColumn="0" w:lastColumn="0" w:oddVBand="0" w:evenVBand="0" w:oddHBand="1" w:evenHBand="0" w:firstRowFirstColumn="0" w:firstRowLastColumn="0" w:lastRowFirstColumn="0" w:lastRowLastColumn="0"/>
            </w:pPr>
          </w:p>
        </w:tc>
        <w:tc>
          <w:tcPr>
            <w:tcW w:w="1171" w:type="dxa"/>
          </w:tcPr>
          <w:p w14:paraId="0AE557DB" w14:textId="77777777" w:rsidR="0088742D" w:rsidRPr="00D35280" w:rsidRDefault="0088742D" w:rsidP="0088742D">
            <w:pPr>
              <w:cnfStyle w:val="000000100000" w:firstRow="0" w:lastRow="0" w:firstColumn="0" w:lastColumn="0" w:oddVBand="0" w:evenVBand="0" w:oddHBand="1" w:evenHBand="0" w:firstRowFirstColumn="0" w:firstRowLastColumn="0" w:lastRowFirstColumn="0" w:lastRowLastColumn="0"/>
            </w:pPr>
          </w:p>
        </w:tc>
        <w:tc>
          <w:tcPr>
            <w:tcW w:w="1120" w:type="dxa"/>
          </w:tcPr>
          <w:p w14:paraId="1B6834DE" w14:textId="77777777" w:rsidR="0088742D" w:rsidRPr="00D35280" w:rsidRDefault="0088742D" w:rsidP="0088742D">
            <w:pPr>
              <w:cnfStyle w:val="000000100000" w:firstRow="0" w:lastRow="0" w:firstColumn="0" w:lastColumn="0" w:oddVBand="0" w:evenVBand="0" w:oddHBand="1" w:evenHBand="0" w:firstRowFirstColumn="0" w:firstRowLastColumn="0" w:lastRowFirstColumn="0" w:lastRowLastColumn="0"/>
            </w:pPr>
          </w:p>
        </w:tc>
      </w:tr>
      <w:tr w:rsidR="0088742D" w:rsidRPr="00D35280" w14:paraId="53687504" w14:textId="77777777" w:rsidTr="0088742D">
        <w:trPr>
          <w:trHeight w:val="1489"/>
        </w:trPr>
        <w:tc>
          <w:tcPr>
            <w:cnfStyle w:val="001000000000" w:firstRow="0" w:lastRow="0" w:firstColumn="1" w:lastColumn="0" w:oddVBand="0" w:evenVBand="0" w:oddHBand="0" w:evenHBand="0" w:firstRowFirstColumn="0" w:firstRowLastColumn="0" w:lastRowFirstColumn="0" w:lastRowLastColumn="0"/>
            <w:tcW w:w="3321" w:type="dxa"/>
          </w:tcPr>
          <w:p w14:paraId="0E6A568C" w14:textId="77777777" w:rsidR="0088742D" w:rsidRPr="00D35280" w:rsidRDefault="0088742D" w:rsidP="0088742D">
            <w:r w:rsidRPr="00D35280">
              <w:t>Identification of monitoring processes</w:t>
            </w:r>
          </w:p>
          <w:p w14:paraId="2086FC26" w14:textId="77777777" w:rsidR="0088742D" w:rsidRPr="00D35280" w:rsidRDefault="0088742D" w:rsidP="0088742D">
            <w:pPr>
              <w:rPr>
                <w:b w:val="0"/>
                <w:i/>
                <w:sz w:val="20"/>
              </w:rPr>
            </w:pPr>
            <w:r w:rsidRPr="00D35280">
              <w:rPr>
                <w:b w:val="0"/>
                <w:i/>
                <w:sz w:val="20"/>
              </w:rPr>
              <w:t>Establish baseline</w:t>
            </w:r>
          </w:p>
          <w:p w14:paraId="7583F5A0" w14:textId="77777777" w:rsidR="0088742D" w:rsidRPr="00D35280" w:rsidRDefault="0088742D" w:rsidP="0088742D">
            <w:pPr>
              <w:rPr>
                <w:i/>
                <w:sz w:val="20"/>
              </w:rPr>
            </w:pPr>
            <w:r w:rsidRPr="00D35280">
              <w:rPr>
                <w:b w:val="0"/>
                <w:i/>
                <w:sz w:val="20"/>
              </w:rPr>
              <w:t>Set measures to monitor progress</w:t>
            </w:r>
          </w:p>
        </w:tc>
        <w:tc>
          <w:tcPr>
            <w:tcW w:w="2023" w:type="dxa"/>
          </w:tcPr>
          <w:p w14:paraId="6272E153" w14:textId="77777777" w:rsidR="0088742D" w:rsidRPr="007E463A" w:rsidRDefault="0088742D" w:rsidP="0088742D">
            <w:pPr>
              <w:cnfStyle w:val="000000000000" w:firstRow="0" w:lastRow="0" w:firstColumn="0" w:lastColumn="0" w:oddVBand="0" w:evenVBand="0" w:oddHBand="0" w:evenHBand="0" w:firstRowFirstColumn="0" w:firstRowLastColumn="0" w:lastRowFirstColumn="0" w:lastRowLastColumn="0"/>
              <w:rPr>
                <w:i/>
              </w:rPr>
            </w:pPr>
            <w:r w:rsidRPr="007E463A">
              <w:rPr>
                <w:i/>
                <w:sz w:val="20"/>
              </w:rPr>
              <w:t>Education on audit tools for department</w:t>
            </w:r>
            <w:r>
              <w:rPr>
                <w:i/>
                <w:sz w:val="20"/>
              </w:rPr>
              <w:t>, etc.</w:t>
            </w:r>
          </w:p>
        </w:tc>
        <w:tc>
          <w:tcPr>
            <w:tcW w:w="812" w:type="dxa"/>
          </w:tcPr>
          <w:p w14:paraId="6C3B2410" w14:textId="77777777" w:rsidR="0088742D" w:rsidRPr="00D35280" w:rsidRDefault="0088742D" w:rsidP="0088742D">
            <w:pPr>
              <w:cnfStyle w:val="000000000000" w:firstRow="0" w:lastRow="0" w:firstColumn="0" w:lastColumn="0" w:oddVBand="0" w:evenVBand="0" w:oddHBand="0" w:evenHBand="0" w:firstRowFirstColumn="0" w:firstRowLastColumn="0" w:lastRowFirstColumn="0" w:lastRowLastColumn="0"/>
            </w:pPr>
          </w:p>
        </w:tc>
        <w:tc>
          <w:tcPr>
            <w:tcW w:w="745" w:type="dxa"/>
          </w:tcPr>
          <w:p w14:paraId="33E35DC5" w14:textId="77777777" w:rsidR="0088742D" w:rsidRPr="00D35280" w:rsidRDefault="0088742D" w:rsidP="0088742D">
            <w:pPr>
              <w:cnfStyle w:val="000000000000" w:firstRow="0" w:lastRow="0" w:firstColumn="0" w:lastColumn="0" w:oddVBand="0" w:evenVBand="0" w:oddHBand="0" w:evenHBand="0" w:firstRowFirstColumn="0" w:firstRowLastColumn="0" w:lastRowFirstColumn="0" w:lastRowLastColumn="0"/>
            </w:pPr>
          </w:p>
        </w:tc>
        <w:tc>
          <w:tcPr>
            <w:tcW w:w="1171" w:type="dxa"/>
          </w:tcPr>
          <w:p w14:paraId="34910E08" w14:textId="77777777" w:rsidR="0088742D" w:rsidRPr="00D35280" w:rsidRDefault="0088742D" w:rsidP="0088742D">
            <w:pPr>
              <w:cnfStyle w:val="000000000000" w:firstRow="0" w:lastRow="0" w:firstColumn="0" w:lastColumn="0" w:oddVBand="0" w:evenVBand="0" w:oddHBand="0" w:evenHBand="0" w:firstRowFirstColumn="0" w:firstRowLastColumn="0" w:lastRowFirstColumn="0" w:lastRowLastColumn="0"/>
            </w:pPr>
          </w:p>
        </w:tc>
        <w:tc>
          <w:tcPr>
            <w:tcW w:w="1120" w:type="dxa"/>
          </w:tcPr>
          <w:p w14:paraId="3BD41CFA" w14:textId="77777777" w:rsidR="0088742D" w:rsidRPr="00D35280" w:rsidRDefault="0088742D" w:rsidP="0088742D">
            <w:pPr>
              <w:cnfStyle w:val="000000000000" w:firstRow="0" w:lastRow="0" w:firstColumn="0" w:lastColumn="0" w:oddVBand="0" w:evenVBand="0" w:oddHBand="0" w:evenHBand="0" w:firstRowFirstColumn="0" w:firstRowLastColumn="0" w:lastRowFirstColumn="0" w:lastRowLastColumn="0"/>
            </w:pPr>
          </w:p>
        </w:tc>
      </w:tr>
      <w:tr w:rsidR="0088742D" w:rsidRPr="00D35280" w14:paraId="27F98389" w14:textId="77777777" w:rsidTr="0088742D">
        <w:trPr>
          <w:cnfStyle w:val="000000100000" w:firstRow="0" w:lastRow="0" w:firstColumn="0" w:lastColumn="0" w:oddVBand="0" w:evenVBand="0" w:oddHBand="1" w:evenHBand="0" w:firstRowFirstColumn="0" w:firstRowLastColumn="0" w:lastRowFirstColumn="0" w:lastRowLastColumn="0"/>
          <w:trHeight w:val="1914"/>
        </w:trPr>
        <w:tc>
          <w:tcPr>
            <w:cnfStyle w:val="001000000000" w:firstRow="0" w:lastRow="0" w:firstColumn="1" w:lastColumn="0" w:oddVBand="0" w:evenVBand="0" w:oddHBand="0" w:evenHBand="0" w:firstRowFirstColumn="0" w:firstRowLastColumn="0" w:lastRowFirstColumn="0" w:lastRowLastColumn="0"/>
            <w:tcW w:w="3321" w:type="dxa"/>
          </w:tcPr>
          <w:p w14:paraId="695DFE41" w14:textId="77777777" w:rsidR="0088742D" w:rsidRPr="00D35280" w:rsidRDefault="0088742D" w:rsidP="0088742D">
            <w:r w:rsidRPr="00D35280">
              <w:t>Approval of implementation plan</w:t>
            </w:r>
          </w:p>
          <w:p w14:paraId="55F001B7" w14:textId="77777777" w:rsidR="0088742D" w:rsidRPr="00D35280" w:rsidRDefault="0088742D" w:rsidP="0088742D">
            <w:pPr>
              <w:rPr>
                <w:b w:val="0"/>
                <w:i/>
                <w:sz w:val="20"/>
              </w:rPr>
            </w:pPr>
            <w:r w:rsidRPr="00D35280">
              <w:rPr>
                <w:b w:val="0"/>
                <w:i/>
                <w:sz w:val="20"/>
              </w:rPr>
              <w:t>Implementation plan and tools approved by relevant management/executive</w:t>
            </w:r>
          </w:p>
        </w:tc>
        <w:tc>
          <w:tcPr>
            <w:tcW w:w="2023" w:type="dxa"/>
          </w:tcPr>
          <w:p w14:paraId="737EBE37" w14:textId="77777777" w:rsidR="0088742D" w:rsidRPr="007E463A" w:rsidRDefault="0088742D" w:rsidP="0088742D">
            <w:pPr>
              <w:cnfStyle w:val="000000100000" w:firstRow="0" w:lastRow="0" w:firstColumn="0" w:lastColumn="0" w:oddVBand="0" w:evenVBand="0" w:oddHBand="1" w:evenHBand="0" w:firstRowFirstColumn="0" w:firstRowLastColumn="0" w:lastRowFirstColumn="0" w:lastRowLastColumn="0"/>
              <w:rPr>
                <w:i/>
              </w:rPr>
            </w:pPr>
            <w:r w:rsidRPr="007E463A">
              <w:rPr>
                <w:i/>
                <w:sz w:val="20"/>
              </w:rPr>
              <w:t>Exec team member to discuss plan and resources/support required at exec management group</w:t>
            </w:r>
            <w:r>
              <w:rPr>
                <w:i/>
                <w:sz w:val="20"/>
              </w:rPr>
              <w:t>, etc.</w:t>
            </w:r>
          </w:p>
        </w:tc>
        <w:tc>
          <w:tcPr>
            <w:tcW w:w="812" w:type="dxa"/>
          </w:tcPr>
          <w:p w14:paraId="60544408" w14:textId="77777777" w:rsidR="0088742D" w:rsidRPr="00D35280" w:rsidRDefault="0088742D" w:rsidP="0088742D">
            <w:pPr>
              <w:cnfStyle w:val="000000100000" w:firstRow="0" w:lastRow="0" w:firstColumn="0" w:lastColumn="0" w:oddVBand="0" w:evenVBand="0" w:oddHBand="1" w:evenHBand="0" w:firstRowFirstColumn="0" w:firstRowLastColumn="0" w:lastRowFirstColumn="0" w:lastRowLastColumn="0"/>
            </w:pPr>
          </w:p>
        </w:tc>
        <w:tc>
          <w:tcPr>
            <w:tcW w:w="745" w:type="dxa"/>
          </w:tcPr>
          <w:p w14:paraId="1BC2D115" w14:textId="77777777" w:rsidR="0088742D" w:rsidRPr="00D35280" w:rsidRDefault="0088742D" w:rsidP="0088742D">
            <w:pPr>
              <w:cnfStyle w:val="000000100000" w:firstRow="0" w:lastRow="0" w:firstColumn="0" w:lastColumn="0" w:oddVBand="0" w:evenVBand="0" w:oddHBand="1" w:evenHBand="0" w:firstRowFirstColumn="0" w:firstRowLastColumn="0" w:lastRowFirstColumn="0" w:lastRowLastColumn="0"/>
            </w:pPr>
          </w:p>
        </w:tc>
        <w:tc>
          <w:tcPr>
            <w:tcW w:w="1171" w:type="dxa"/>
          </w:tcPr>
          <w:p w14:paraId="1BDBD4DE" w14:textId="77777777" w:rsidR="0088742D" w:rsidRPr="00D35280" w:rsidRDefault="0088742D" w:rsidP="0088742D">
            <w:pPr>
              <w:cnfStyle w:val="000000100000" w:firstRow="0" w:lastRow="0" w:firstColumn="0" w:lastColumn="0" w:oddVBand="0" w:evenVBand="0" w:oddHBand="1" w:evenHBand="0" w:firstRowFirstColumn="0" w:firstRowLastColumn="0" w:lastRowFirstColumn="0" w:lastRowLastColumn="0"/>
            </w:pPr>
          </w:p>
        </w:tc>
        <w:tc>
          <w:tcPr>
            <w:tcW w:w="1120" w:type="dxa"/>
          </w:tcPr>
          <w:p w14:paraId="5B821200" w14:textId="77777777" w:rsidR="0088742D" w:rsidRPr="00D35280" w:rsidRDefault="0088742D" w:rsidP="0088742D">
            <w:pPr>
              <w:cnfStyle w:val="000000100000" w:firstRow="0" w:lastRow="0" w:firstColumn="0" w:lastColumn="0" w:oddVBand="0" w:evenVBand="0" w:oddHBand="1" w:evenHBand="0" w:firstRowFirstColumn="0" w:firstRowLastColumn="0" w:lastRowFirstColumn="0" w:lastRowLastColumn="0"/>
            </w:pPr>
          </w:p>
        </w:tc>
      </w:tr>
      <w:tr w:rsidR="0088742D" w:rsidRPr="00D35280" w14:paraId="16DA9749" w14:textId="77777777" w:rsidTr="0088742D">
        <w:trPr>
          <w:trHeight w:val="2173"/>
        </w:trPr>
        <w:tc>
          <w:tcPr>
            <w:cnfStyle w:val="001000000000" w:firstRow="0" w:lastRow="0" w:firstColumn="1" w:lastColumn="0" w:oddVBand="0" w:evenVBand="0" w:oddHBand="0" w:evenHBand="0" w:firstRowFirstColumn="0" w:firstRowLastColumn="0" w:lastRowFirstColumn="0" w:lastRowLastColumn="0"/>
            <w:tcW w:w="3321" w:type="dxa"/>
          </w:tcPr>
          <w:p w14:paraId="2A37EA13" w14:textId="77777777" w:rsidR="0088742D" w:rsidRDefault="0088742D" w:rsidP="0088742D">
            <w:r>
              <w:t>Plan-Do-Study-Act</w:t>
            </w:r>
          </w:p>
          <w:p w14:paraId="3E1BA36F" w14:textId="77777777" w:rsidR="0088742D" w:rsidRDefault="0088742D" w:rsidP="0088742D">
            <w:pPr>
              <w:rPr>
                <w:b w:val="0"/>
                <w:i/>
                <w:sz w:val="20"/>
              </w:rPr>
            </w:pPr>
            <w:r>
              <w:rPr>
                <w:b w:val="0"/>
                <w:i/>
                <w:sz w:val="20"/>
              </w:rPr>
              <w:t>Conduct pilot</w:t>
            </w:r>
          </w:p>
          <w:p w14:paraId="4559AC92" w14:textId="77777777" w:rsidR="0088742D" w:rsidRDefault="0088742D" w:rsidP="0088742D">
            <w:pPr>
              <w:rPr>
                <w:b w:val="0"/>
                <w:i/>
                <w:sz w:val="20"/>
              </w:rPr>
            </w:pPr>
            <w:r>
              <w:rPr>
                <w:b w:val="0"/>
                <w:i/>
                <w:sz w:val="20"/>
              </w:rPr>
              <w:t>Study results</w:t>
            </w:r>
          </w:p>
          <w:p w14:paraId="1C3E2F50" w14:textId="77777777" w:rsidR="0088742D" w:rsidRDefault="0088742D" w:rsidP="0088742D">
            <w:pPr>
              <w:rPr>
                <w:b w:val="0"/>
                <w:i/>
                <w:sz w:val="20"/>
              </w:rPr>
            </w:pPr>
            <w:r>
              <w:rPr>
                <w:b w:val="0"/>
                <w:i/>
                <w:sz w:val="20"/>
              </w:rPr>
              <w:t>Proceed to widespread implementation</w:t>
            </w:r>
          </w:p>
          <w:p w14:paraId="18A9D47A" w14:textId="77777777" w:rsidR="0088742D" w:rsidRPr="00D35280" w:rsidRDefault="0088742D" w:rsidP="0088742D">
            <w:pPr>
              <w:rPr>
                <w:b w:val="0"/>
                <w:i/>
                <w:sz w:val="20"/>
              </w:rPr>
            </w:pPr>
            <w:r>
              <w:rPr>
                <w:b w:val="0"/>
                <w:i/>
                <w:sz w:val="20"/>
              </w:rPr>
              <w:t>Report and respond to results</w:t>
            </w:r>
          </w:p>
        </w:tc>
        <w:tc>
          <w:tcPr>
            <w:tcW w:w="2023" w:type="dxa"/>
          </w:tcPr>
          <w:p w14:paraId="4648F994" w14:textId="77777777" w:rsidR="0088742D" w:rsidRPr="007E463A" w:rsidRDefault="0088742D" w:rsidP="0088742D">
            <w:pPr>
              <w:cnfStyle w:val="000000000000" w:firstRow="0" w:lastRow="0" w:firstColumn="0" w:lastColumn="0" w:oddVBand="0" w:evenVBand="0" w:oddHBand="0" w:evenHBand="0" w:firstRowFirstColumn="0" w:firstRowLastColumn="0" w:lastRowFirstColumn="0" w:lastRowLastColumn="0"/>
              <w:rPr>
                <w:i/>
              </w:rPr>
            </w:pPr>
            <w:r w:rsidRPr="007E463A">
              <w:rPr>
                <w:i/>
                <w:sz w:val="20"/>
              </w:rPr>
              <w:t>Ensure all tools available for pilot, etc.</w:t>
            </w:r>
          </w:p>
        </w:tc>
        <w:tc>
          <w:tcPr>
            <w:tcW w:w="812" w:type="dxa"/>
          </w:tcPr>
          <w:p w14:paraId="789B7183" w14:textId="77777777" w:rsidR="0088742D" w:rsidRPr="00D35280" w:rsidRDefault="0088742D" w:rsidP="0088742D">
            <w:pPr>
              <w:cnfStyle w:val="000000000000" w:firstRow="0" w:lastRow="0" w:firstColumn="0" w:lastColumn="0" w:oddVBand="0" w:evenVBand="0" w:oddHBand="0" w:evenHBand="0" w:firstRowFirstColumn="0" w:firstRowLastColumn="0" w:lastRowFirstColumn="0" w:lastRowLastColumn="0"/>
            </w:pPr>
          </w:p>
        </w:tc>
        <w:tc>
          <w:tcPr>
            <w:tcW w:w="745" w:type="dxa"/>
          </w:tcPr>
          <w:p w14:paraId="7E5EAB1E" w14:textId="77777777" w:rsidR="0088742D" w:rsidRPr="00D35280" w:rsidRDefault="0088742D" w:rsidP="0088742D">
            <w:pPr>
              <w:cnfStyle w:val="000000000000" w:firstRow="0" w:lastRow="0" w:firstColumn="0" w:lastColumn="0" w:oddVBand="0" w:evenVBand="0" w:oddHBand="0" w:evenHBand="0" w:firstRowFirstColumn="0" w:firstRowLastColumn="0" w:lastRowFirstColumn="0" w:lastRowLastColumn="0"/>
            </w:pPr>
          </w:p>
        </w:tc>
        <w:tc>
          <w:tcPr>
            <w:tcW w:w="1171" w:type="dxa"/>
          </w:tcPr>
          <w:p w14:paraId="10D799E8" w14:textId="77777777" w:rsidR="0088742D" w:rsidRPr="00D35280" w:rsidRDefault="0088742D" w:rsidP="0088742D">
            <w:pPr>
              <w:cnfStyle w:val="000000000000" w:firstRow="0" w:lastRow="0" w:firstColumn="0" w:lastColumn="0" w:oddVBand="0" w:evenVBand="0" w:oddHBand="0" w:evenHBand="0" w:firstRowFirstColumn="0" w:firstRowLastColumn="0" w:lastRowFirstColumn="0" w:lastRowLastColumn="0"/>
            </w:pPr>
          </w:p>
        </w:tc>
        <w:tc>
          <w:tcPr>
            <w:tcW w:w="1120" w:type="dxa"/>
          </w:tcPr>
          <w:p w14:paraId="3A38246F" w14:textId="77777777" w:rsidR="0088742D" w:rsidRPr="00D35280" w:rsidRDefault="0088742D" w:rsidP="0088742D">
            <w:pPr>
              <w:cnfStyle w:val="000000000000" w:firstRow="0" w:lastRow="0" w:firstColumn="0" w:lastColumn="0" w:oddVBand="0" w:evenVBand="0" w:oddHBand="0" w:evenHBand="0" w:firstRowFirstColumn="0" w:firstRowLastColumn="0" w:lastRowFirstColumn="0" w:lastRowLastColumn="0"/>
            </w:pPr>
          </w:p>
        </w:tc>
      </w:tr>
    </w:tbl>
    <w:p w14:paraId="5AEA80A4" w14:textId="77777777" w:rsidR="0088742D" w:rsidRDefault="0088742D" w:rsidP="0088742D">
      <w:pPr>
        <w:pStyle w:val="Heading2"/>
        <w:ind w:left="859"/>
        <w:jc w:val="both"/>
      </w:pPr>
    </w:p>
    <w:p w14:paraId="71560B76" w14:textId="77777777" w:rsidR="0088742D" w:rsidRPr="00F1706B" w:rsidRDefault="0088742D" w:rsidP="0088742D"/>
    <w:p w14:paraId="0D029FB0" w14:textId="77777777" w:rsidR="0088742D" w:rsidRDefault="0088742D" w:rsidP="0088742D">
      <w:pPr>
        <w:pStyle w:val="Heading2"/>
        <w:keepNext/>
        <w:keepLines/>
        <w:numPr>
          <w:ilvl w:val="1"/>
          <w:numId w:val="17"/>
        </w:numPr>
        <w:spacing w:before="480" w:after="120" w:line="276" w:lineRule="auto"/>
        <w:jc w:val="both"/>
      </w:pPr>
      <w:bookmarkStart w:id="29" w:name="_Toc38369998"/>
      <w:r>
        <w:lastRenderedPageBreak/>
        <w:t>Pilot the new solution</w:t>
      </w:r>
      <w:bookmarkEnd w:id="29"/>
    </w:p>
    <w:p w14:paraId="38B4D31E" w14:textId="77777777" w:rsidR="0088742D" w:rsidRDefault="0088742D" w:rsidP="0088742D">
      <w:pPr>
        <w:jc w:val="both"/>
      </w:pPr>
      <w:r>
        <w:t>A pilot can allow you to test the implementation processes and revise the plan using short ‘Plan Do Study Act Cycles’.</w:t>
      </w:r>
    </w:p>
    <w:p w14:paraId="0C13F7E0" w14:textId="77777777" w:rsidR="0088742D" w:rsidRDefault="0088742D" w:rsidP="0088742D">
      <w:pPr>
        <w:jc w:val="both"/>
      </w:pPr>
      <w:r>
        <w:t>When piloting the process, you should consider:</w:t>
      </w:r>
    </w:p>
    <w:p w14:paraId="7518F4E9" w14:textId="77777777" w:rsidR="0088742D" w:rsidRDefault="0088742D" w:rsidP="0088742D">
      <w:pPr>
        <w:pStyle w:val="ListParagraph"/>
        <w:numPr>
          <w:ilvl w:val="0"/>
          <w:numId w:val="38"/>
        </w:numPr>
        <w:spacing w:before="120" w:after="120" w:line="276" w:lineRule="auto"/>
        <w:jc w:val="both"/>
      </w:pPr>
      <w:r>
        <w:t>Choice of department/clinical area – what preparation would be required? What is also going on this area?</w:t>
      </w:r>
    </w:p>
    <w:p w14:paraId="597872BF" w14:textId="77777777" w:rsidR="0088742D" w:rsidRDefault="0088742D" w:rsidP="0088742D">
      <w:pPr>
        <w:pStyle w:val="ListParagraph"/>
        <w:numPr>
          <w:ilvl w:val="0"/>
          <w:numId w:val="38"/>
        </w:numPr>
        <w:spacing w:before="120" w:after="120" w:line="276" w:lineRule="auto"/>
        <w:jc w:val="both"/>
      </w:pPr>
      <w:r>
        <w:t>Engagement of staff – are there areas where staff are more likely to embrace the opportunity for change? A ‘quick win’ may demonstrate early improvements in care and successes that can be reported and shared.</w:t>
      </w:r>
    </w:p>
    <w:p w14:paraId="7CD6FCFF" w14:textId="77777777" w:rsidR="0088742D" w:rsidRDefault="0088742D" w:rsidP="0088742D">
      <w:pPr>
        <w:pStyle w:val="ListParagraph"/>
        <w:numPr>
          <w:ilvl w:val="0"/>
          <w:numId w:val="38"/>
        </w:numPr>
        <w:spacing w:before="120" w:after="120" w:line="276" w:lineRule="auto"/>
        <w:jc w:val="both"/>
      </w:pPr>
      <w:r>
        <w:t>Choice of patient – are you going to use a referral criteria or leave the initiation of a referral for clinical handover to the professional and clinical judgement of staff?</w:t>
      </w:r>
    </w:p>
    <w:p w14:paraId="5EB4CD41" w14:textId="77777777" w:rsidR="0088742D" w:rsidRDefault="0088742D" w:rsidP="0088742D">
      <w:pPr>
        <w:pStyle w:val="ListParagraph"/>
        <w:numPr>
          <w:ilvl w:val="0"/>
          <w:numId w:val="38"/>
        </w:numPr>
        <w:spacing w:before="120" w:after="120" w:line="276" w:lineRule="auto"/>
        <w:jc w:val="both"/>
      </w:pPr>
      <w:r>
        <w:t>Meaningful evaluation and revisions – what is the minimum data set required to show if the intervention is really making a difference? How will this data be recorded, captured and reviewed?</w:t>
      </w:r>
    </w:p>
    <w:p w14:paraId="593311F3" w14:textId="77777777" w:rsidR="0088742D" w:rsidRDefault="0088742D" w:rsidP="0088742D">
      <w:pPr>
        <w:pStyle w:val="Heading2"/>
        <w:keepNext/>
        <w:keepLines/>
        <w:numPr>
          <w:ilvl w:val="1"/>
          <w:numId w:val="17"/>
        </w:numPr>
        <w:spacing w:before="480" w:after="120" w:line="276" w:lineRule="auto"/>
        <w:jc w:val="both"/>
      </w:pPr>
      <w:bookmarkStart w:id="30" w:name="_Toc38369999"/>
      <w:r>
        <w:t>Review and revise the solution</w:t>
      </w:r>
      <w:bookmarkEnd w:id="30"/>
    </w:p>
    <w:p w14:paraId="1744813B" w14:textId="77777777" w:rsidR="0088742D" w:rsidRDefault="0088742D" w:rsidP="0088742D">
      <w:pPr>
        <w:jc w:val="both"/>
      </w:pPr>
      <w:r>
        <w:t xml:space="preserve">Iterative changes to the service can improve outcomes being measured and feedback to staff can improve engagement and commitment. </w:t>
      </w:r>
    </w:p>
    <w:p w14:paraId="3A1E61C4" w14:textId="77777777" w:rsidR="0088742D" w:rsidRDefault="0088742D" w:rsidP="0088742D">
      <w:pPr>
        <w:jc w:val="both"/>
      </w:pPr>
      <w:r>
        <w:t>The Newcastle upon Tyne Hospitals publication on the formative evaluation of their service also includes an intervention checklist. This documents certain changes that were made to the system that altered the sensitivity in the data being captured and therefore inferred impact of the service</w:t>
      </w:r>
      <w:r w:rsidRPr="00F1706B">
        <w:rPr>
          <w:vertAlign w:val="superscript"/>
        </w:rPr>
        <w:fldChar w:fldCharType="begin"/>
      </w:r>
      <w:r w:rsidRPr="00F1706B">
        <w:rPr>
          <w:vertAlign w:val="superscript"/>
        </w:rPr>
        <w:instrText xml:space="preserve"> NOTEREF _Ref38364493 \h </w:instrText>
      </w:r>
      <w:r w:rsidRPr="00F1706B">
        <w:rPr>
          <w:vertAlign w:val="superscript"/>
        </w:rPr>
      </w:r>
      <w:r>
        <w:rPr>
          <w:vertAlign w:val="superscript"/>
        </w:rPr>
        <w:instrText xml:space="preserve"> \* MERGEFORMAT </w:instrText>
      </w:r>
      <w:r w:rsidRPr="00F1706B">
        <w:rPr>
          <w:vertAlign w:val="superscript"/>
        </w:rPr>
        <w:fldChar w:fldCharType="separate"/>
      </w:r>
      <w:r w:rsidRPr="00F1706B">
        <w:rPr>
          <w:vertAlign w:val="superscript"/>
        </w:rPr>
        <w:t>5</w:t>
      </w:r>
      <w:r w:rsidRPr="00F1706B">
        <w:rPr>
          <w:vertAlign w:val="superscript"/>
        </w:rPr>
        <w:fldChar w:fldCharType="end"/>
      </w:r>
      <w:r>
        <w:t>.</w:t>
      </w:r>
    </w:p>
    <w:p w14:paraId="3A9971EC" w14:textId="77777777" w:rsidR="0088742D" w:rsidRDefault="0088742D" w:rsidP="0088742D">
      <w:pPr>
        <w:pStyle w:val="Heading2"/>
        <w:keepNext/>
        <w:keepLines/>
        <w:numPr>
          <w:ilvl w:val="1"/>
          <w:numId w:val="17"/>
        </w:numPr>
        <w:spacing w:before="480" w:after="120" w:line="276" w:lineRule="auto"/>
        <w:jc w:val="both"/>
      </w:pPr>
      <w:bookmarkStart w:id="31" w:name="_Toc38370000"/>
      <w:r>
        <w:t>Sustain the solution in the pilot site</w:t>
      </w:r>
      <w:bookmarkEnd w:id="31"/>
    </w:p>
    <w:p w14:paraId="2BB43CC8" w14:textId="77777777" w:rsidR="0088742D" w:rsidRDefault="0088742D" w:rsidP="0088742D">
      <w:pPr>
        <w:jc w:val="both"/>
      </w:pPr>
      <w:r>
        <w:t>Planning strategies to sustain the service are important and could include:</w:t>
      </w:r>
    </w:p>
    <w:p w14:paraId="3C8C9A86" w14:textId="77777777" w:rsidR="0088742D" w:rsidRDefault="0088742D" w:rsidP="0088742D">
      <w:pPr>
        <w:pStyle w:val="ListParagraph"/>
        <w:numPr>
          <w:ilvl w:val="0"/>
          <w:numId w:val="40"/>
        </w:numPr>
        <w:spacing w:before="120" w:after="120" w:line="276" w:lineRule="auto"/>
        <w:jc w:val="both"/>
      </w:pPr>
      <w:r>
        <w:t xml:space="preserve">Embedding the service into organisational structures, policies and job </w:t>
      </w:r>
      <w:proofErr w:type="gramStart"/>
      <w:r>
        <w:t>descriptions;</w:t>
      </w:r>
      <w:proofErr w:type="gramEnd"/>
    </w:p>
    <w:p w14:paraId="7910E6A9" w14:textId="77777777" w:rsidR="0088742D" w:rsidRDefault="0088742D" w:rsidP="0088742D">
      <w:pPr>
        <w:pStyle w:val="ListParagraph"/>
        <w:numPr>
          <w:ilvl w:val="0"/>
          <w:numId w:val="40"/>
        </w:numPr>
        <w:spacing w:before="120" w:after="120" w:line="276" w:lineRule="auto"/>
        <w:jc w:val="both"/>
      </w:pPr>
      <w:r>
        <w:t xml:space="preserve">Highlighting and reinforcing the benefits in improved communication and patient </w:t>
      </w:r>
      <w:proofErr w:type="gramStart"/>
      <w:r>
        <w:t>journey;</w:t>
      </w:r>
      <w:proofErr w:type="gramEnd"/>
    </w:p>
    <w:p w14:paraId="186DD563" w14:textId="77777777" w:rsidR="0088742D" w:rsidRDefault="0088742D" w:rsidP="0088742D">
      <w:pPr>
        <w:pStyle w:val="ListParagraph"/>
        <w:numPr>
          <w:ilvl w:val="0"/>
          <w:numId w:val="40"/>
        </w:numPr>
        <w:spacing w:before="120" w:after="120" w:line="276" w:lineRule="auto"/>
        <w:jc w:val="both"/>
      </w:pPr>
      <w:r>
        <w:t xml:space="preserve">Incorporate staff and patient feedback to make the process for effective and </w:t>
      </w:r>
      <w:proofErr w:type="gramStart"/>
      <w:r>
        <w:t>inefficient;</w:t>
      </w:r>
      <w:proofErr w:type="gramEnd"/>
    </w:p>
    <w:p w14:paraId="489FF155" w14:textId="77777777" w:rsidR="0088742D" w:rsidRDefault="0088742D" w:rsidP="0088742D">
      <w:pPr>
        <w:pStyle w:val="ListParagraph"/>
        <w:numPr>
          <w:ilvl w:val="0"/>
          <w:numId w:val="40"/>
        </w:numPr>
        <w:spacing w:before="120" w:after="120" w:line="276" w:lineRule="auto"/>
        <w:jc w:val="both"/>
      </w:pPr>
      <w:r>
        <w:t>Link the service to other quality improvement and safety initiatives to facilitate adoption.</w:t>
      </w:r>
    </w:p>
    <w:p w14:paraId="3AFA36D3" w14:textId="77777777" w:rsidR="0088742D" w:rsidRDefault="0088742D" w:rsidP="0088742D">
      <w:pPr>
        <w:pStyle w:val="ListParagraph"/>
        <w:numPr>
          <w:ilvl w:val="0"/>
          <w:numId w:val="40"/>
        </w:numPr>
        <w:spacing w:before="120" w:after="120" w:line="276" w:lineRule="auto"/>
        <w:jc w:val="both"/>
      </w:pPr>
      <w:r>
        <w:t>Monitoring activity data and feedback</w:t>
      </w:r>
    </w:p>
    <w:p w14:paraId="2C161A8A" w14:textId="77777777" w:rsidR="0088742D" w:rsidRDefault="0088742D" w:rsidP="0088742D">
      <w:pPr>
        <w:pStyle w:val="Heading2"/>
        <w:keepNext/>
        <w:keepLines/>
        <w:numPr>
          <w:ilvl w:val="1"/>
          <w:numId w:val="17"/>
        </w:numPr>
        <w:spacing w:before="480" w:after="120" w:line="276" w:lineRule="auto"/>
        <w:jc w:val="both"/>
      </w:pPr>
      <w:bookmarkStart w:id="32" w:name="_Toc38370001"/>
      <w:r>
        <w:t>Spread the project to other clinical settings</w:t>
      </w:r>
      <w:bookmarkEnd w:id="32"/>
    </w:p>
    <w:p w14:paraId="6704EA76" w14:textId="77777777" w:rsidR="0088742D" w:rsidRDefault="0088742D" w:rsidP="0088742D">
      <w:pPr>
        <w:jc w:val="both"/>
      </w:pPr>
      <w:r>
        <w:t>Once the pilot is complete and the service reviewed and revised, implementation strategies should be spread to other clinical settings, units and wards. Part of this process will involve facilitating opportunities for staff from the pilot areas to share their experience of implementation with other areas, sharing what worked well, the challenges and the lessons learnt.</w:t>
      </w:r>
    </w:p>
    <w:p w14:paraId="42A391E6" w14:textId="77777777" w:rsidR="0088742D" w:rsidRDefault="0088742D" w:rsidP="0088742D">
      <w:pPr>
        <w:jc w:val="both"/>
      </w:pPr>
      <w:r>
        <w:t>Strategies for the spread of clinical handover services could include:</w:t>
      </w:r>
    </w:p>
    <w:p w14:paraId="18210703" w14:textId="77777777" w:rsidR="0088742D" w:rsidRDefault="0088742D" w:rsidP="0088742D">
      <w:pPr>
        <w:pStyle w:val="ListParagraph"/>
        <w:numPr>
          <w:ilvl w:val="0"/>
          <w:numId w:val="41"/>
        </w:numPr>
        <w:spacing w:before="120" w:after="120" w:line="276" w:lineRule="auto"/>
        <w:jc w:val="both"/>
      </w:pPr>
      <w:r>
        <w:lastRenderedPageBreak/>
        <w:t xml:space="preserve">Develop organisational policy or procedure linked to the handover policy principles and approach, i.e. medicines </w:t>
      </w:r>
      <w:proofErr w:type="gramStart"/>
      <w:r>
        <w:t>optimisation;</w:t>
      </w:r>
      <w:proofErr w:type="gramEnd"/>
    </w:p>
    <w:p w14:paraId="4616CB7E" w14:textId="77777777" w:rsidR="0088742D" w:rsidRDefault="0088742D" w:rsidP="0088742D">
      <w:pPr>
        <w:pStyle w:val="ListParagraph"/>
        <w:numPr>
          <w:ilvl w:val="0"/>
          <w:numId w:val="41"/>
        </w:numPr>
        <w:spacing w:before="120" w:after="120" w:line="276" w:lineRule="auto"/>
        <w:jc w:val="both"/>
      </w:pPr>
      <w:r>
        <w:t xml:space="preserve">Demonstrate the adaptability of the approach to other areas of the </w:t>
      </w:r>
      <w:proofErr w:type="gramStart"/>
      <w:r>
        <w:t>organisation;</w:t>
      </w:r>
      <w:proofErr w:type="gramEnd"/>
    </w:p>
    <w:p w14:paraId="73896C99" w14:textId="77777777" w:rsidR="0088742D" w:rsidRDefault="0088742D" w:rsidP="0088742D">
      <w:pPr>
        <w:pStyle w:val="ListParagraph"/>
        <w:numPr>
          <w:ilvl w:val="0"/>
          <w:numId w:val="41"/>
        </w:numPr>
        <w:spacing w:before="120" w:after="120" w:line="276" w:lineRule="auto"/>
        <w:jc w:val="both"/>
      </w:pPr>
      <w:r>
        <w:t xml:space="preserve">Use local pilot champions to spread the good </w:t>
      </w:r>
      <w:proofErr w:type="gramStart"/>
      <w:r>
        <w:t>news;</w:t>
      </w:r>
      <w:proofErr w:type="gramEnd"/>
    </w:p>
    <w:p w14:paraId="7A1822E3" w14:textId="77777777" w:rsidR="0088742D" w:rsidRDefault="0088742D" w:rsidP="0088742D">
      <w:pPr>
        <w:pStyle w:val="ListParagraph"/>
        <w:numPr>
          <w:ilvl w:val="0"/>
          <w:numId w:val="41"/>
        </w:numPr>
        <w:spacing w:before="120" w:after="120" w:line="276" w:lineRule="auto"/>
        <w:jc w:val="both"/>
      </w:pPr>
      <w:r>
        <w:t xml:space="preserve">Market good news stories on ease of use, practicability and benefits to staff and </w:t>
      </w:r>
      <w:proofErr w:type="gramStart"/>
      <w:r>
        <w:t>patients;</w:t>
      </w:r>
      <w:proofErr w:type="gramEnd"/>
      <w:r>
        <w:t xml:space="preserve"> </w:t>
      </w:r>
    </w:p>
    <w:p w14:paraId="0AFF61AB" w14:textId="77777777" w:rsidR="0088742D" w:rsidRDefault="0088742D" w:rsidP="0088742D">
      <w:pPr>
        <w:pStyle w:val="ListParagraph"/>
        <w:numPr>
          <w:ilvl w:val="0"/>
          <w:numId w:val="41"/>
        </w:numPr>
        <w:spacing w:before="120" w:after="120" w:line="276" w:lineRule="auto"/>
        <w:jc w:val="both"/>
      </w:pPr>
      <w:r>
        <w:t>Communicate the pilot outcomes through formal and informal channels, meeting agendas, publications, presentations, newsletters and awards.</w:t>
      </w:r>
    </w:p>
    <w:p w14:paraId="025292B3" w14:textId="77777777" w:rsidR="0088742D" w:rsidRDefault="0088742D" w:rsidP="0088742D">
      <w:pPr>
        <w:pStyle w:val="Heading2"/>
        <w:keepNext/>
        <w:keepLines/>
        <w:numPr>
          <w:ilvl w:val="1"/>
          <w:numId w:val="17"/>
        </w:numPr>
        <w:spacing w:before="480" w:after="120" w:line="276" w:lineRule="auto"/>
        <w:jc w:val="both"/>
      </w:pPr>
      <w:bookmarkStart w:id="33" w:name="_Toc38370002"/>
      <w:r>
        <w:t>Provide ongoing education and training to new and existing employees</w:t>
      </w:r>
      <w:bookmarkEnd w:id="33"/>
    </w:p>
    <w:p w14:paraId="34D28BA2" w14:textId="77777777" w:rsidR="0088742D" w:rsidRDefault="0088742D" w:rsidP="0088742D">
      <w:pPr>
        <w:jc w:val="both"/>
      </w:pPr>
      <w:r>
        <w:t>Ongoing training and education for employees is important to help sustain and spread the change over time. The service should be linked to orientation training for new employees and embed the handover process in ward, unit or institution policies.</w:t>
      </w:r>
    </w:p>
    <w:p w14:paraId="0C439EF2" w14:textId="77777777" w:rsidR="0088742D" w:rsidRDefault="0088742D" w:rsidP="0088742D">
      <w:pPr>
        <w:pStyle w:val="Heading1"/>
        <w:keepNext/>
        <w:keepLines/>
        <w:numPr>
          <w:ilvl w:val="0"/>
          <w:numId w:val="17"/>
        </w:numPr>
        <w:spacing w:before="480" w:after="0" w:line="276" w:lineRule="auto"/>
        <w:jc w:val="both"/>
      </w:pPr>
      <w:bookmarkStart w:id="34" w:name="_Toc38370003"/>
      <w:r>
        <w:t>Evaluation and maintenance</w:t>
      </w:r>
      <w:bookmarkEnd w:id="34"/>
    </w:p>
    <w:p w14:paraId="19357346" w14:textId="77777777" w:rsidR="0088742D" w:rsidRPr="00582A60" w:rsidRDefault="0088742D" w:rsidP="0088742D">
      <w:pPr>
        <w:jc w:val="both"/>
      </w:pPr>
      <w:r>
        <w:t>Evaluation is a systematic process of understanding whether, and to what extent, a project has met or is meeting its objectives. An evaluation plan should be an integral part of the planning and implementation and should be managed from the beginning of the project.</w:t>
      </w:r>
    </w:p>
    <w:p w14:paraId="3293F13D" w14:textId="77777777" w:rsidR="0088742D" w:rsidRDefault="0088742D" w:rsidP="0088742D">
      <w:pPr>
        <w:pStyle w:val="Heading2"/>
        <w:keepNext/>
        <w:keepLines/>
        <w:numPr>
          <w:ilvl w:val="1"/>
          <w:numId w:val="17"/>
        </w:numPr>
        <w:spacing w:before="480" w:after="120" w:line="276" w:lineRule="auto"/>
        <w:jc w:val="both"/>
      </w:pPr>
      <w:bookmarkStart w:id="35" w:name="_Toc38370004"/>
      <w:r>
        <w:t>Develop an evaluation plan</w:t>
      </w:r>
      <w:bookmarkEnd w:id="35"/>
    </w:p>
    <w:p w14:paraId="709A7C76" w14:textId="77777777" w:rsidR="0088742D" w:rsidRDefault="0088742D" w:rsidP="0088742D">
      <w:pPr>
        <w:jc w:val="both"/>
      </w:pPr>
      <w:r>
        <w:t>Ideally the evaluation plan will include quantitative and qualitative data to provide a comprehensive understanding of the impact of the service. The outcome data will give an idea of effectiveness and efficiency and the qualitative exploration will uncover how and why the service is working as it is.</w:t>
      </w:r>
    </w:p>
    <w:p w14:paraId="71A5A9C2" w14:textId="77777777" w:rsidR="0088742D" w:rsidRDefault="0088742D" w:rsidP="0088742D">
      <w:pPr>
        <w:jc w:val="both"/>
      </w:pPr>
      <w:r>
        <w:t>The work by Nazar et al</w:t>
      </w:r>
      <w:r w:rsidRPr="00A135B5">
        <w:rPr>
          <w:vertAlign w:val="superscript"/>
        </w:rPr>
        <w:fldChar w:fldCharType="begin"/>
      </w:r>
      <w:r w:rsidRPr="00A135B5">
        <w:rPr>
          <w:vertAlign w:val="superscript"/>
        </w:rPr>
        <w:instrText xml:space="preserve"> NOTEREF _Ref38364493 \h </w:instrText>
      </w:r>
      <w:r w:rsidRPr="00A135B5">
        <w:rPr>
          <w:vertAlign w:val="superscript"/>
        </w:rPr>
      </w:r>
      <w:r>
        <w:rPr>
          <w:vertAlign w:val="superscript"/>
        </w:rPr>
        <w:instrText xml:space="preserve"> \* MERGEFORMAT </w:instrText>
      </w:r>
      <w:r w:rsidRPr="00A135B5">
        <w:rPr>
          <w:vertAlign w:val="superscript"/>
        </w:rPr>
        <w:fldChar w:fldCharType="separate"/>
      </w:r>
      <w:r w:rsidRPr="00A135B5">
        <w:rPr>
          <w:vertAlign w:val="superscript"/>
        </w:rPr>
        <w:t>5</w:t>
      </w:r>
      <w:r w:rsidRPr="00A135B5">
        <w:rPr>
          <w:vertAlign w:val="superscript"/>
        </w:rPr>
        <w:fldChar w:fldCharType="end"/>
      </w:r>
      <w:r>
        <w:t>, and Barnett et al</w:t>
      </w:r>
      <w:r w:rsidRPr="00A135B5">
        <w:rPr>
          <w:vertAlign w:val="superscript"/>
        </w:rPr>
        <w:fldChar w:fldCharType="begin"/>
      </w:r>
      <w:r w:rsidRPr="00A135B5">
        <w:rPr>
          <w:vertAlign w:val="superscript"/>
        </w:rPr>
        <w:instrText xml:space="preserve"> NOTEREF _Ref38363624 \h </w:instrText>
      </w:r>
      <w:r w:rsidRPr="00A135B5">
        <w:rPr>
          <w:vertAlign w:val="superscript"/>
        </w:rPr>
      </w:r>
      <w:r>
        <w:rPr>
          <w:vertAlign w:val="superscript"/>
        </w:rPr>
        <w:instrText xml:space="preserve"> \* MERGEFORMAT </w:instrText>
      </w:r>
      <w:r w:rsidRPr="00A135B5">
        <w:rPr>
          <w:vertAlign w:val="superscript"/>
        </w:rPr>
        <w:fldChar w:fldCharType="separate"/>
      </w:r>
      <w:r w:rsidRPr="00A135B5">
        <w:rPr>
          <w:vertAlign w:val="superscript"/>
        </w:rPr>
        <w:t>6</w:t>
      </w:r>
      <w:r w:rsidRPr="00A135B5">
        <w:rPr>
          <w:vertAlign w:val="superscript"/>
        </w:rPr>
        <w:fldChar w:fldCharType="end"/>
      </w:r>
      <w:r>
        <w:t xml:space="preserve"> fulfil the quantitative evaluation but warrant complementary qualitative investigation as exemplified by Ramsbottom et al</w:t>
      </w:r>
      <w:r w:rsidRPr="00A135B5">
        <w:rPr>
          <w:vertAlign w:val="superscript"/>
        </w:rPr>
        <w:fldChar w:fldCharType="begin"/>
      </w:r>
      <w:r w:rsidRPr="00A135B5">
        <w:rPr>
          <w:vertAlign w:val="superscript"/>
        </w:rPr>
        <w:instrText xml:space="preserve"> NOTEREF _Ref38364532 \h </w:instrText>
      </w:r>
      <w:r w:rsidRPr="00A135B5">
        <w:rPr>
          <w:vertAlign w:val="superscript"/>
        </w:rPr>
      </w:r>
      <w:r>
        <w:rPr>
          <w:vertAlign w:val="superscript"/>
        </w:rPr>
        <w:instrText xml:space="preserve"> \* MERGEFORMAT </w:instrText>
      </w:r>
      <w:r w:rsidRPr="00A135B5">
        <w:rPr>
          <w:vertAlign w:val="superscript"/>
        </w:rPr>
        <w:fldChar w:fldCharType="separate"/>
      </w:r>
      <w:r w:rsidRPr="00A135B5">
        <w:rPr>
          <w:vertAlign w:val="superscript"/>
        </w:rPr>
        <w:t>7</w:t>
      </w:r>
      <w:r w:rsidRPr="00A135B5">
        <w:rPr>
          <w:vertAlign w:val="superscript"/>
        </w:rPr>
        <w:fldChar w:fldCharType="end"/>
      </w:r>
      <w:r>
        <w:t>. This will allow outcomes to be better understood.</w:t>
      </w:r>
    </w:p>
    <w:p w14:paraId="7B6E7115" w14:textId="77777777" w:rsidR="0088742D" w:rsidRDefault="0088742D" w:rsidP="0088742D">
      <w:pPr>
        <w:jc w:val="both"/>
      </w:pPr>
      <w:r>
        <w:t>Current evaluative work has not been able to determine causal patient or economic outcomes from clinical handover service. A further gap in knowledge is the patient experience, acceptability and satisfaction of care provision via this pathway. There is a need for this evidence to consolidate the case for clinical handover services and ensure their sustainability.</w:t>
      </w:r>
    </w:p>
    <w:p w14:paraId="56F52B56" w14:textId="77777777" w:rsidR="0088742D" w:rsidRDefault="0088742D" w:rsidP="0088742D">
      <w:pPr>
        <w:pStyle w:val="Heading2"/>
        <w:keepNext/>
        <w:keepLines/>
        <w:numPr>
          <w:ilvl w:val="1"/>
          <w:numId w:val="17"/>
        </w:numPr>
        <w:spacing w:before="480" w:after="120" w:line="276" w:lineRule="auto"/>
        <w:jc w:val="both"/>
      </w:pPr>
      <w:bookmarkStart w:id="36" w:name="_Toc38370005"/>
      <w:r>
        <w:t>Analyse and compare baseline and post-implementation data</w:t>
      </w:r>
      <w:bookmarkEnd w:id="36"/>
    </w:p>
    <w:p w14:paraId="168C7410" w14:textId="77777777" w:rsidR="0088742D" w:rsidRDefault="0088742D" w:rsidP="0088742D">
      <w:pPr>
        <w:jc w:val="both"/>
      </w:pPr>
      <w:r>
        <w:t>Key stakeholders should be involved in the analysis of data as they will have a working knowledge of the workplace environment, and can review data and provide insights into the context regarding what the data might mean in relation to a specific department or ward, or type of intervention carried out by the community pharmacist, for example.</w:t>
      </w:r>
    </w:p>
    <w:p w14:paraId="254D39EB" w14:textId="77777777" w:rsidR="0088742D" w:rsidRDefault="0088742D" w:rsidP="0088742D">
      <w:pPr>
        <w:jc w:val="both"/>
      </w:pPr>
      <w:r>
        <w:t xml:space="preserve">The early Newcastle upon Tyne Hospitals routine service data was evaluated by a team including health service research academics and representatives from the design, delivery and management of </w:t>
      </w:r>
      <w:r>
        <w:lastRenderedPageBreak/>
        <w:t>the service. This allowed the presentation of data to be described contextually, explaining trends or lack thereof through situational factors.</w:t>
      </w:r>
    </w:p>
    <w:p w14:paraId="1EB3B760" w14:textId="77777777" w:rsidR="0088742D" w:rsidRDefault="0088742D" w:rsidP="0088742D">
      <w:pPr>
        <w:pStyle w:val="Heading2"/>
        <w:keepNext/>
        <w:keepLines/>
        <w:numPr>
          <w:ilvl w:val="1"/>
          <w:numId w:val="17"/>
        </w:numPr>
        <w:spacing w:before="480" w:after="120" w:line="276" w:lineRule="auto"/>
        <w:jc w:val="both"/>
      </w:pPr>
      <w:bookmarkStart w:id="37" w:name="_Toc38370006"/>
      <w:r>
        <w:t>Disseminate evaluation data and provide feedback to stakeholders on the project</w:t>
      </w:r>
      <w:bookmarkEnd w:id="37"/>
    </w:p>
    <w:p w14:paraId="6F8EB0E5" w14:textId="77777777" w:rsidR="0088742D" w:rsidRDefault="0088742D" w:rsidP="0088742D">
      <w:pPr>
        <w:jc w:val="both"/>
      </w:pPr>
      <w:r>
        <w:t>Creative methods and forums may need to be considered in order to present back to staff the findings of an evaluation. It would be appropriate to ask staff and stakeholders how they might want to be communicated and fed back findings from an evaluation.</w:t>
      </w:r>
    </w:p>
    <w:p w14:paraId="502524EC" w14:textId="77777777" w:rsidR="0088742D" w:rsidRDefault="0088742D" w:rsidP="0088742D">
      <w:pPr>
        <w:jc w:val="both"/>
      </w:pPr>
      <w:r>
        <w:t>Project reports, social media platforms, professional publication and peer-reviewed journals are just some of the means for dissemination across a range of audiences.</w:t>
      </w:r>
    </w:p>
    <w:p w14:paraId="3C064295" w14:textId="77777777" w:rsidR="0088742D" w:rsidRDefault="0088742D" w:rsidP="0088742D">
      <w:pPr>
        <w:jc w:val="both"/>
      </w:pPr>
      <w:r>
        <w:t>Develop a plan for maintenance and sustaining the change. There are several factors that contribute to the sustainability and spread of an improvement initiative. For example:</w:t>
      </w:r>
    </w:p>
    <w:p w14:paraId="57352798" w14:textId="77777777" w:rsidR="0088742D" w:rsidRDefault="0088742D" w:rsidP="0088742D">
      <w:pPr>
        <w:pStyle w:val="ListParagraph"/>
        <w:numPr>
          <w:ilvl w:val="0"/>
          <w:numId w:val="43"/>
        </w:numPr>
        <w:spacing w:before="120" w:after="120" w:line="276" w:lineRule="auto"/>
        <w:jc w:val="both"/>
      </w:pPr>
      <w:r>
        <w:t xml:space="preserve">Good news stories circulated through regular communications and/or at specific events </w:t>
      </w:r>
    </w:p>
    <w:p w14:paraId="2D3CC76A" w14:textId="77777777" w:rsidR="0088742D" w:rsidRDefault="0088742D" w:rsidP="0088742D">
      <w:pPr>
        <w:pStyle w:val="ListParagraph"/>
        <w:numPr>
          <w:ilvl w:val="0"/>
          <w:numId w:val="43"/>
        </w:numPr>
        <w:spacing w:before="120" w:after="120" w:line="276" w:lineRule="auto"/>
        <w:jc w:val="both"/>
      </w:pPr>
      <w:r>
        <w:t>Beyond dependence upon individual champions</w:t>
      </w:r>
    </w:p>
    <w:p w14:paraId="0FBAF524" w14:textId="77777777" w:rsidR="0088742D" w:rsidRDefault="0088742D" w:rsidP="0088742D">
      <w:pPr>
        <w:pStyle w:val="ListParagraph"/>
        <w:numPr>
          <w:ilvl w:val="0"/>
          <w:numId w:val="43"/>
        </w:numPr>
        <w:spacing w:before="120" w:after="120" w:line="276" w:lineRule="auto"/>
        <w:jc w:val="both"/>
      </w:pPr>
      <w:r>
        <w:t>Tools, solutions and processes are embedded in routine clinical practice</w:t>
      </w:r>
    </w:p>
    <w:p w14:paraId="125B326F" w14:textId="77777777" w:rsidR="0088742D" w:rsidRDefault="0088742D" w:rsidP="0088742D">
      <w:pPr>
        <w:pStyle w:val="ListParagraph"/>
        <w:numPr>
          <w:ilvl w:val="0"/>
          <w:numId w:val="43"/>
        </w:numPr>
        <w:spacing w:before="120" w:after="120" w:line="276" w:lineRule="auto"/>
        <w:jc w:val="both"/>
      </w:pPr>
      <w:r>
        <w:t>Assign someone the ongoing role of maintenance and review of the service.</w:t>
      </w:r>
    </w:p>
    <w:p w14:paraId="4FAA8352" w14:textId="77777777" w:rsidR="0088742D" w:rsidRDefault="0088742D" w:rsidP="0088742D">
      <w:pPr>
        <w:pStyle w:val="Heading1"/>
        <w:keepNext/>
        <w:keepLines/>
        <w:numPr>
          <w:ilvl w:val="0"/>
          <w:numId w:val="17"/>
        </w:numPr>
        <w:spacing w:before="480" w:after="0" w:line="276" w:lineRule="auto"/>
      </w:pPr>
      <w:bookmarkStart w:id="38" w:name="_Toc38370007"/>
      <w:r>
        <w:t>Acknowledgements</w:t>
      </w:r>
      <w:bookmarkEnd w:id="38"/>
    </w:p>
    <w:p w14:paraId="5B7CC711" w14:textId="6B5624FA" w:rsidR="0088742D" w:rsidRPr="007D64E6" w:rsidRDefault="0088742D" w:rsidP="0088742D">
      <w:r>
        <w:t>This toolkit has been developed based on an original document written</w:t>
      </w:r>
      <w:r w:rsidRPr="00D931A3">
        <w:t xml:space="preserve"> by </w:t>
      </w:r>
      <w:r>
        <w:t>key members of the AHSN</w:t>
      </w:r>
      <w:r w:rsidRPr="00D931A3">
        <w:t xml:space="preserve"> Network</w:t>
      </w:r>
      <w:r>
        <w:t xml:space="preserve"> including Wessex AHSN and North East and North Cumbria AHSN. UCLPartners are very grateful to the authors for giving </w:t>
      </w:r>
      <w:r w:rsidR="00525A08">
        <w:t xml:space="preserve">their </w:t>
      </w:r>
      <w:bookmarkStart w:id="39" w:name="_GoBack"/>
      <w:bookmarkEnd w:id="39"/>
      <w:r>
        <w:t>permission to adapt the</w:t>
      </w:r>
      <w:r w:rsidR="00525A08">
        <w:t>ir</w:t>
      </w:r>
      <w:r>
        <w:t xml:space="preserve"> original document</w:t>
      </w:r>
      <w:r w:rsidR="00525A08">
        <w:t xml:space="preserve"> to support our partner organisations</w:t>
      </w:r>
      <w:r>
        <w:t>.</w:t>
      </w:r>
    </w:p>
    <w:p w14:paraId="5CEDAEB1" w14:textId="77777777" w:rsidR="0088742D" w:rsidRDefault="0088742D" w:rsidP="0088742D">
      <w:pPr>
        <w:pStyle w:val="Heading1"/>
        <w:keepNext/>
        <w:keepLines/>
        <w:numPr>
          <w:ilvl w:val="0"/>
          <w:numId w:val="17"/>
        </w:numPr>
        <w:spacing w:before="480" w:after="0" w:line="276" w:lineRule="auto"/>
      </w:pPr>
      <w:bookmarkStart w:id="40" w:name="_Toc38370008"/>
      <w:r>
        <w:t>Resources Appendix</w:t>
      </w:r>
      <w:bookmarkEnd w:id="40"/>
    </w:p>
    <w:p w14:paraId="58293E47" w14:textId="484BF5A2" w:rsidR="0088742D" w:rsidRDefault="0088742D" w:rsidP="0088742D">
      <w:pPr>
        <w:jc w:val="both"/>
        <w:sectPr w:rsidR="0088742D" w:rsidSect="009828D7">
          <w:headerReference w:type="default" r:id="rId21"/>
          <w:footerReference w:type="even" r:id="rId22"/>
          <w:footerReference w:type="default" r:id="rId23"/>
          <w:pgSz w:w="11900" w:h="16840"/>
          <w:pgMar w:top="1930" w:right="1440" w:bottom="1440" w:left="1440" w:header="708" w:footer="708" w:gutter="0"/>
          <w:cols w:space="708"/>
          <w:docGrid w:linePitch="360"/>
        </w:sectPr>
      </w:pPr>
      <w:r>
        <w:object w:dxaOrig="1068" w:dyaOrig="712" w14:anchorId="2F984C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53.25pt;height:36pt" o:ole="">
            <v:imagedata r:id="rId24" o:title=""/>
          </v:shape>
          <o:OLEObject Type="Embed" ProgID="AcroExch.Document.DC" ShapeID="_x0000_i1031" DrawAspect="Icon" ObjectID="_1648983488" r:id="rId25"/>
        </w:object>
      </w:r>
    </w:p>
    <w:p w14:paraId="23042515" w14:textId="4F739F68" w:rsidR="00862529" w:rsidRDefault="00862529" w:rsidP="002B505D">
      <w:pPr>
        <w:spacing w:after="0"/>
        <w:sectPr w:rsidR="00862529" w:rsidSect="00862529">
          <w:footerReference w:type="default" r:id="rId26"/>
          <w:pgSz w:w="16840" w:h="11900" w:orient="landscape"/>
          <w:pgMar w:top="1440" w:right="1928" w:bottom="1440" w:left="1440" w:header="709" w:footer="709" w:gutter="0"/>
          <w:cols w:space="708"/>
          <w:docGrid w:linePitch="360"/>
        </w:sectPr>
      </w:pPr>
    </w:p>
    <w:p w14:paraId="3CE91937" w14:textId="2F0D285F" w:rsidR="00F53A8B" w:rsidRPr="00F53A8B" w:rsidRDefault="00F53A8B" w:rsidP="002B505D">
      <w:pPr>
        <w:spacing w:after="0"/>
      </w:pPr>
    </w:p>
    <w:sectPr w:rsidR="00F53A8B" w:rsidRPr="00F53A8B" w:rsidSect="002B505D">
      <w:pgSz w:w="11900" w:h="16840"/>
      <w:pgMar w:top="192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1732AB" w14:textId="77777777" w:rsidR="00A31215" w:rsidRDefault="00A31215" w:rsidP="001F3FEF">
      <w:pPr>
        <w:spacing w:after="0"/>
      </w:pPr>
      <w:r>
        <w:separator/>
      </w:r>
    </w:p>
  </w:endnote>
  <w:endnote w:type="continuationSeparator" w:id="0">
    <w:p w14:paraId="5AB2DA8B" w14:textId="77777777" w:rsidR="00A31215" w:rsidRDefault="00A31215" w:rsidP="001F3FEF">
      <w:pPr>
        <w:spacing w:after="0"/>
      </w:pPr>
      <w:r>
        <w:continuationSeparator/>
      </w:r>
    </w:p>
  </w:endnote>
  <w:endnote w:id="1">
    <w:p w14:paraId="432C91A1" w14:textId="77777777" w:rsidR="0088742D" w:rsidRDefault="0088742D" w:rsidP="0088742D">
      <w:pPr>
        <w:pStyle w:val="EndnoteText"/>
      </w:pPr>
      <w:r>
        <w:rPr>
          <w:rStyle w:val="EndnoteReference"/>
        </w:rPr>
        <w:endnoteRef/>
      </w:r>
      <w:r>
        <w:t xml:space="preserve"> </w:t>
      </w:r>
      <w:r w:rsidRPr="00D931A3">
        <w:t>Damschroder LJ, Aron DC, Keith RE, Kirsh SR, Alexander JA, Lowery JC. Fostering implementation of health services research findings into practice: a consolidated framework for advancing implementation science. Implementation science. 2009 Dec;4(1):50</w:t>
      </w:r>
    </w:p>
  </w:endnote>
  <w:endnote w:id="2">
    <w:p w14:paraId="1FDB9E1D" w14:textId="77777777" w:rsidR="0088742D" w:rsidRDefault="0088742D" w:rsidP="0088742D">
      <w:pPr>
        <w:pStyle w:val="EndnoteText"/>
      </w:pPr>
      <w:r>
        <w:rPr>
          <w:rStyle w:val="EndnoteReference"/>
        </w:rPr>
        <w:endnoteRef/>
      </w:r>
      <w:r>
        <w:t xml:space="preserve"> </w:t>
      </w:r>
      <w:r w:rsidRPr="009D2BA2">
        <w:t>National Patient Safety Agency (NPSA), Seven steps to patient safety. London, 2004.</w:t>
      </w:r>
    </w:p>
  </w:endnote>
  <w:endnote w:id="3">
    <w:p w14:paraId="474D8318" w14:textId="77777777" w:rsidR="0088742D" w:rsidRDefault="0088742D" w:rsidP="0088742D">
      <w:pPr>
        <w:pStyle w:val="EndnoteText"/>
      </w:pPr>
      <w:r>
        <w:rPr>
          <w:rStyle w:val="EndnoteReference"/>
        </w:rPr>
        <w:endnoteRef/>
      </w:r>
      <w:r>
        <w:t xml:space="preserve"> </w:t>
      </w:r>
      <w:r w:rsidRPr="009D2BA2">
        <w:t>Howard C, Watson N. AHSN support for a national template and core data for electronic transfer of care around medicines: The case for clinical handover to community pharmacy.</w:t>
      </w:r>
    </w:p>
  </w:endnote>
  <w:endnote w:id="4">
    <w:p w14:paraId="03AB1148" w14:textId="77777777" w:rsidR="0088742D" w:rsidRDefault="0088742D" w:rsidP="0088742D">
      <w:pPr>
        <w:pStyle w:val="EndnoteText"/>
      </w:pPr>
      <w:r>
        <w:rPr>
          <w:rStyle w:val="EndnoteReference"/>
        </w:rPr>
        <w:endnoteRef/>
      </w:r>
      <w:r>
        <w:t xml:space="preserve"> </w:t>
      </w:r>
      <w:r w:rsidRPr="009D2BA2">
        <w:t>Nazar H, Nazar Z, Portlock J, Todd A, Slight SP. A systematic review of the role of community pharmacies in improving the transition from secondary to primary care. British journal of clinical pharmacology. 2015 Nov 1;80(5):936-48.</w:t>
      </w:r>
    </w:p>
  </w:endnote>
  <w:endnote w:id="5">
    <w:p w14:paraId="54C2974D" w14:textId="77777777" w:rsidR="0088742D" w:rsidRDefault="0088742D" w:rsidP="0088742D">
      <w:pPr>
        <w:pStyle w:val="EndnoteText"/>
      </w:pPr>
      <w:r>
        <w:rPr>
          <w:rStyle w:val="EndnoteReference"/>
        </w:rPr>
        <w:endnoteRef/>
      </w:r>
      <w:r>
        <w:t xml:space="preserve"> </w:t>
      </w:r>
      <w:r w:rsidRPr="009D2BA2">
        <w:t>Nazar H, Brice S, Akhter N, Kasim A, Gunning A, Slight SP, Watson NW. New transfer of care initiative of electronic referral from hospital to community pharmacy in England: a formative service evaluation. BMJ open. 2016 Oct 1;6(10</w:t>
      </w:r>
      <w:proofErr w:type="gramStart"/>
      <w:r w:rsidRPr="009D2BA2">
        <w:t>):e</w:t>
      </w:r>
      <w:proofErr w:type="gramEnd"/>
      <w:r w:rsidRPr="009D2BA2">
        <w:t>012532.</w:t>
      </w:r>
    </w:p>
  </w:endnote>
  <w:endnote w:id="6">
    <w:p w14:paraId="48333BE4" w14:textId="77777777" w:rsidR="0088742D" w:rsidRDefault="0088742D" w:rsidP="0088742D">
      <w:pPr>
        <w:pStyle w:val="EndnoteText"/>
      </w:pPr>
      <w:r>
        <w:rPr>
          <w:rStyle w:val="EndnoteReference"/>
        </w:rPr>
        <w:endnoteRef/>
      </w:r>
      <w:r>
        <w:t xml:space="preserve"> </w:t>
      </w:r>
      <w:r w:rsidRPr="009D2BA2">
        <w:t xml:space="preserve">Barnett NL, Dave K, Athwal D, Parmar P, Kaher S, Ward C. Impact of an integrated medicines management service on preventable medicines-related readmission to hospital: a descriptive study. Eur J Hosp Pharm. 2016 Nov </w:t>
      </w:r>
      <w:proofErr w:type="gramStart"/>
      <w:r w:rsidRPr="009D2BA2">
        <w:t>1:ejhpharm</w:t>
      </w:r>
      <w:proofErr w:type="gramEnd"/>
      <w:r w:rsidRPr="009D2BA2">
        <w:t>-2016.</w:t>
      </w:r>
    </w:p>
  </w:endnote>
  <w:endnote w:id="7">
    <w:p w14:paraId="708D6847" w14:textId="77777777" w:rsidR="0088742D" w:rsidRDefault="0088742D" w:rsidP="0088742D">
      <w:pPr>
        <w:pStyle w:val="EndnoteText"/>
      </w:pPr>
      <w:r>
        <w:rPr>
          <w:rStyle w:val="EndnoteReference"/>
        </w:rPr>
        <w:endnoteRef/>
      </w:r>
      <w:r>
        <w:t xml:space="preserve"> </w:t>
      </w:r>
      <w:r w:rsidRPr="009D2BA2">
        <w:t>Ramsbottom HF, Fitzpatrick R, Rutter P. Post discharge medicines use review service for older patients: recruitment issues in a feasibility study. International journal of clinical pharmacy. 2016 Apr 1;38(2):208-12.</w:t>
      </w:r>
    </w:p>
  </w:endnote>
  <w:endnote w:id="8">
    <w:p w14:paraId="7BE64C72" w14:textId="77777777" w:rsidR="0088742D" w:rsidRDefault="0088742D" w:rsidP="0088742D">
      <w:pPr>
        <w:pStyle w:val="EndnoteText"/>
      </w:pPr>
      <w:r>
        <w:rPr>
          <w:rStyle w:val="EndnoteReference"/>
        </w:rPr>
        <w:endnoteRef/>
      </w:r>
      <w:r>
        <w:t xml:space="preserve"> </w:t>
      </w:r>
      <w:r w:rsidRPr="009D2BA2">
        <w:t>The RPS Innovator’s Forum. Hospital referral to community pharmacy: An innovators’ toolkit to support the NHS in England. Royal Pharmaceutical Society, 2014.</w:t>
      </w:r>
    </w:p>
  </w:endnote>
  <w:endnote w:id="9">
    <w:p w14:paraId="4D0FBDE7" w14:textId="77777777" w:rsidR="0088742D" w:rsidRDefault="0088742D" w:rsidP="0088742D">
      <w:pPr>
        <w:pStyle w:val="EndnoteText"/>
      </w:pPr>
      <w:r>
        <w:rPr>
          <w:rStyle w:val="EndnoteReference"/>
        </w:rPr>
        <w:endnoteRef/>
      </w:r>
      <w:r>
        <w:t xml:space="preserve"> </w:t>
      </w:r>
      <w:r w:rsidRPr="0090386E">
        <w:t>Nazar H, Maniatoupolos G, Watson N. Clinical Handover: results of a Delphi consensus survey on appropriate referral criteria of hospital inpatients for follow up care in the primary care setting. AHSN NENC and Newcastle University, 2018.</w:t>
      </w:r>
    </w:p>
  </w:endnote>
  <w:endnote w:id="10">
    <w:p w14:paraId="6FF536EF" w14:textId="77777777" w:rsidR="0088742D" w:rsidRDefault="0088742D" w:rsidP="0088742D">
      <w:pPr>
        <w:pStyle w:val="EndnoteText"/>
      </w:pPr>
      <w:r>
        <w:rPr>
          <w:rStyle w:val="EndnoteReference"/>
        </w:rPr>
        <w:endnoteRef/>
      </w:r>
      <w:r>
        <w:t xml:space="preserve"> </w:t>
      </w:r>
      <w:r w:rsidRPr="00A135B5">
        <w:t>The Royal Pharmaceutical Society. Keeping patients safe when they transfer between care providers – getting the medicines right. Good practice guidance for healthcare professionals. RPS, 2011.</w:t>
      </w:r>
    </w:p>
  </w:endnote>
  <w:endnote w:id="11">
    <w:p w14:paraId="2D495DDF" w14:textId="77777777" w:rsidR="0088742D" w:rsidRDefault="0088742D" w:rsidP="0088742D">
      <w:pPr>
        <w:pStyle w:val="EndnoteText"/>
      </w:pPr>
      <w:r>
        <w:rPr>
          <w:rStyle w:val="EndnoteReference"/>
        </w:rPr>
        <w:endnoteRef/>
      </w:r>
      <w:r>
        <w:t xml:space="preserve"> </w:t>
      </w:r>
      <w:r w:rsidRPr="00A135B5">
        <w:t>The Royal Pharmaceutical Society. Medicines Optimisation: Helping patients to make the most of medicines. Good practice guidance for healthcare professionals in England. RPS, 2013.</w:t>
      </w:r>
    </w:p>
  </w:endnote>
  <w:endnote w:id="12">
    <w:p w14:paraId="72A2EEFA" w14:textId="77777777" w:rsidR="0088742D" w:rsidRDefault="0088742D" w:rsidP="0088742D">
      <w:pPr>
        <w:pStyle w:val="EndnoteText"/>
      </w:pPr>
      <w:r>
        <w:rPr>
          <w:rStyle w:val="EndnoteReference"/>
        </w:rPr>
        <w:endnoteRef/>
      </w:r>
      <w:r>
        <w:t xml:space="preserve"> </w:t>
      </w:r>
      <w:r w:rsidRPr="00A135B5">
        <w:t>Nazar H and Nazar Z. The pharmacist-led domiciliary medicines review service: staff perspectives on implementation and delivery. Independent report for Wessex AHSN and Rowlands Pharmacy, 2017.</w:t>
      </w:r>
    </w:p>
  </w:endnote>
  <w:endnote w:id="13">
    <w:p w14:paraId="6FB6EB26" w14:textId="77777777" w:rsidR="0088742D" w:rsidRDefault="0088742D" w:rsidP="0088742D">
      <w:pPr>
        <w:pStyle w:val="EndnoteText"/>
      </w:pPr>
      <w:r>
        <w:rPr>
          <w:rStyle w:val="EndnoteReference"/>
        </w:rPr>
        <w:endnoteRef/>
      </w:r>
      <w:r>
        <w:t xml:space="preserve"> </w:t>
      </w:r>
      <w:r w:rsidRPr="00A135B5">
        <w:t>PharmOutcomes® and the Innovation Agency (AHSN for the North West Coast). Bridging the Gap: Integrated referrals to community pharmacy.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Std Light">
    <w:altName w:val="Gill Sans Std 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1857936"/>
      <w:docPartObj>
        <w:docPartGallery w:val="Page Numbers (Bottom of Page)"/>
        <w:docPartUnique/>
      </w:docPartObj>
    </w:sdtPr>
    <w:sdtEndPr>
      <w:rPr>
        <w:noProof/>
      </w:rPr>
    </w:sdtEndPr>
    <w:sdtContent>
      <w:p w14:paraId="70F33CAA" w14:textId="28067CF0" w:rsidR="0088742D" w:rsidRDefault="00525A08">
        <w:pPr>
          <w:pStyle w:val="Footer"/>
          <w:jc w:val="right"/>
        </w:pPr>
        <w:r w:rsidRPr="00B3244E">
          <w:rPr>
            <w:noProof/>
          </w:rPr>
          <w:drawing>
            <wp:anchor distT="0" distB="0" distL="114300" distR="114300" simplePos="0" relativeHeight="251676672" behindDoc="1" locked="0" layoutInCell="1" allowOverlap="1" wp14:anchorId="1B108476" wp14:editId="1BD04DE1">
              <wp:simplePos x="0" y="0"/>
              <wp:positionH relativeFrom="page">
                <wp:posOffset>21771</wp:posOffset>
              </wp:positionH>
              <wp:positionV relativeFrom="paragraph">
                <wp:posOffset>106045</wp:posOffset>
              </wp:positionV>
              <wp:extent cx="8455025" cy="1022951"/>
              <wp:effectExtent l="0" t="0" r="3175" b="635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512908" cy="1029954"/>
                      </a:xfrm>
                      <a:prstGeom prst="rect">
                        <a:avLst/>
                      </a:prstGeom>
                    </pic:spPr>
                  </pic:pic>
                </a:graphicData>
              </a:graphic>
              <wp14:sizeRelH relativeFrom="page">
                <wp14:pctWidth>0</wp14:pctWidth>
              </wp14:sizeRelH>
              <wp14:sizeRelV relativeFrom="page">
                <wp14:pctHeight>0</wp14:pctHeight>
              </wp14:sizeRelV>
            </wp:anchor>
          </w:drawing>
        </w:r>
        <w:r w:rsidR="0088742D">
          <w:fldChar w:fldCharType="begin"/>
        </w:r>
        <w:r w:rsidR="0088742D">
          <w:instrText xml:space="preserve"> PAGE   \* MERGEFORMAT </w:instrText>
        </w:r>
        <w:r w:rsidR="0088742D">
          <w:fldChar w:fldCharType="separate"/>
        </w:r>
        <w:r w:rsidR="0088742D">
          <w:rPr>
            <w:noProof/>
          </w:rPr>
          <w:t>22</w:t>
        </w:r>
        <w:r w:rsidR="0088742D">
          <w:rPr>
            <w:noProof/>
          </w:rPr>
          <w:fldChar w:fldCharType="end"/>
        </w:r>
      </w:p>
    </w:sdtContent>
  </w:sdt>
  <w:p w14:paraId="3E6B41D7" w14:textId="0DCA6161" w:rsidR="0088742D" w:rsidRDefault="008874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8888227"/>
      <w:docPartObj>
        <w:docPartGallery w:val="Page Numbers (Bottom of Page)"/>
        <w:docPartUnique/>
      </w:docPartObj>
    </w:sdtPr>
    <w:sdtEndPr>
      <w:rPr>
        <w:noProof/>
      </w:rPr>
    </w:sdtEndPr>
    <w:sdtContent>
      <w:p w14:paraId="42135F66" w14:textId="2318AD51" w:rsidR="0088742D" w:rsidRDefault="00525A08">
        <w:pPr>
          <w:pStyle w:val="Footer"/>
          <w:jc w:val="right"/>
        </w:pPr>
        <w:r w:rsidRPr="00B3244E">
          <w:rPr>
            <w:noProof/>
          </w:rPr>
          <w:drawing>
            <wp:anchor distT="0" distB="0" distL="114300" distR="114300" simplePos="0" relativeHeight="251680768" behindDoc="1" locked="0" layoutInCell="1" allowOverlap="1" wp14:anchorId="1A15E2C8" wp14:editId="381D0585">
              <wp:simplePos x="0" y="0"/>
              <wp:positionH relativeFrom="page">
                <wp:posOffset>43543</wp:posOffset>
              </wp:positionH>
              <wp:positionV relativeFrom="paragraph">
                <wp:posOffset>106045</wp:posOffset>
              </wp:positionV>
              <wp:extent cx="9317561" cy="913130"/>
              <wp:effectExtent l="0" t="0" r="0" b="127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335845" cy="914922"/>
                      </a:xfrm>
                      <a:prstGeom prst="rect">
                        <a:avLst/>
                      </a:prstGeom>
                    </pic:spPr>
                  </pic:pic>
                </a:graphicData>
              </a:graphic>
              <wp14:sizeRelH relativeFrom="page">
                <wp14:pctWidth>0</wp14:pctWidth>
              </wp14:sizeRelH>
              <wp14:sizeRelV relativeFrom="page">
                <wp14:pctHeight>0</wp14:pctHeight>
              </wp14:sizeRelV>
            </wp:anchor>
          </w:drawing>
        </w:r>
        <w:r w:rsidR="0088742D">
          <w:fldChar w:fldCharType="begin"/>
        </w:r>
        <w:r w:rsidR="0088742D">
          <w:instrText xml:space="preserve"> PAGE   \* MERGEFORMAT </w:instrText>
        </w:r>
        <w:r w:rsidR="0088742D">
          <w:fldChar w:fldCharType="separate"/>
        </w:r>
        <w:r w:rsidR="0088742D">
          <w:rPr>
            <w:noProof/>
          </w:rPr>
          <w:t>1</w:t>
        </w:r>
        <w:r w:rsidR="0088742D">
          <w:rPr>
            <w:noProof/>
          </w:rPr>
          <w:fldChar w:fldCharType="end"/>
        </w:r>
      </w:p>
    </w:sdtContent>
  </w:sdt>
  <w:p w14:paraId="7C3F9974" w14:textId="62098AA4" w:rsidR="0088742D" w:rsidRDefault="008874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09160724"/>
      <w:docPartObj>
        <w:docPartGallery w:val="Page Numbers (Bottom of Page)"/>
        <w:docPartUnique/>
      </w:docPartObj>
    </w:sdtPr>
    <w:sdtContent>
      <w:p w14:paraId="606EB040" w14:textId="77777777" w:rsidR="0088742D" w:rsidRDefault="0088742D" w:rsidP="0088742D">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896871127"/>
      <w:docPartObj>
        <w:docPartGallery w:val="Page Numbers (Bottom of Page)"/>
        <w:docPartUnique/>
      </w:docPartObj>
    </w:sdtPr>
    <w:sdtContent>
      <w:p w14:paraId="116C782C" w14:textId="77777777" w:rsidR="0088742D" w:rsidRDefault="0088742D" w:rsidP="0069655E">
        <w:pPr>
          <w:pStyle w:val="Footer"/>
          <w:framePr w:wrap="none" w:vAnchor="text" w:hAnchor="margin" w:y="1"/>
          <w:ind w:firstLine="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4AD933" w14:textId="77777777" w:rsidR="0088742D" w:rsidRDefault="0088742D" w:rsidP="00C13A28">
    <w:pPr>
      <w:pStyle w:val="Footer"/>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72821456"/>
      <w:docPartObj>
        <w:docPartGallery w:val="Page Numbers (Bottom of Page)"/>
        <w:docPartUnique/>
      </w:docPartObj>
    </w:sdtPr>
    <w:sdtEndPr>
      <w:rPr>
        <w:rStyle w:val="PageNumber"/>
        <w:sz w:val="18"/>
        <w:szCs w:val="18"/>
      </w:rPr>
    </w:sdtEndPr>
    <w:sdtContent>
      <w:p w14:paraId="6AEA9780" w14:textId="77777777" w:rsidR="0088742D" w:rsidRPr="0069655E" w:rsidRDefault="0088742D" w:rsidP="0088742D">
        <w:pPr>
          <w:pStyle w:val="Footer"/>
          <w:framePr w:wrap="none" w:vAnchor="text" w:hAnchor="margin" w:y="1"/>
          <w:rPr>
            <w:rStyle w:val="PageNumber"/>
            <w:sz w:val="18"/>
            <w:szCs w:val="18"/>
          </w:rPr>
        </w:pPr>
        <w:r w:rsidRPr="0069655E">
          <w:rPr>
            <w:rStyle w:val="PageNumber"/>
            <w:sz w:val="18"/>
            <w:szCs w:val="18"/>
          </w:rPr>
          <w:fldChar w:fldCharType="begin"/>
        </w:r>
        <w:r w:rsidRPr="0069655E">
          <w:rPr>
            <w:rStyle w:val="PageNumber"/>
            <w:sz w:val="18"/>
            <w:szCs w:val="18"/>
          </w:rPr>
          <w:instrText xml:space="preserve"> PAGE </w:instrText>
        </w:r>
        <w:r w:rsidRPr="0069655E">
          <w:rPr>
            <w:rStyle w:val="PageNumber"/>
            <w:sz w:val="18"/>
            <w:szCs w:val="18"/>
          </w:rPr>
          <w:fldChar w:fldCharType="separate"/>
        </w:r>
        <w:r w:rsidRPr="0069655E">
          <w:rPr>
            <w:rStyle w:val="PageNumber"/>
            <w:noProof/>
            <w:sz w:val="18"/>
            <w:szCs w:val="18"/>
          </w:rPr>
          <w:t>1</w:t>
        </w:r>
        <w:r w:rsidRPr="0069655E">
          <w:rPr>
            <w:rStyle w:val="PageNumber"/>
            <w:sz w:val="18"/>
            <w:szCs w:val="18"/>
          </w:rPr>
          <w:fldChar w:fldCharType="end"/>
        </w:r>
      </w:p>
    </w:sdtContent>
  </w:sdt>
  <w:p w14:paraId="44C2F120" w14:textId="77777777" w:rsidR="0088742D" w:rsidRDefault="0088742D" w:rsidP="0069655E">
    <w:pPr>
      <w:pStyle w:val="Footer"/>
      <w:ind w:firstLine="360"/>
    </w:pPr>
    <w:r w:rsidRPr="00B3244E">
      <w:rPr>
        <w:noProof/>
      </w:rPr>
      <w:drawing>
        <wp:anchor distT="0" distB="0" distL="114300" distR="114300" simplePos="0" relativeHeight="251661312" behindDoc="1" locked="0" layoutInCell="1" allowOverlap="1" wp14:anchorId="50FF3EB3" wp14:editId="59E35BD7">
          <wp:simplePos x="0" y="0"/>
          <wp:positionH relativeFrom="page">
            <wp:align>right</wp:align>
          </wp:positionH>
          <wp:positionV relativeFrom="paragraph">
            <wp:posOffset>-78711</wp:posOffset>
          </wp:positionV>
          <wp:extent cx="7570800" cy="8280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70800" cy="828000"/>
                  </a:xfrm>
                  <a:prstGeom prst="rect">
                    <a:avLst/>
                  </a:prstGeom>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14377276"/>
      <w:docPartObj>
        <w:docPartGallery w:val="Page Numbers (Bottom of Page)"/>
        <w:docPartUnique/>
      </w:docPartObj>
    </w:sdtPr>
    <w:sdtEndPr>
      <w:rPr>
        <w:rStyle w:val="PageNumber"/>
        <w:sz w:val="18"/>
        <w:szCs w:val="18"/>
      </w:rPr>
    </w:sdtEndPr>
    <w:sdtContent>
      <w:p w14:paraId="62633513" w14:textId="77777777" w:rsidR="0088742D" w:rsidRPr="0069655E" w:rsidRDefault="0088742D" w:rsidP="0088742D">
        <w:pPr>
          <w:pStyle w:val="Footer"/>
          <w:framePr w:wrap="none" w:vAnchor="text" w:hAnchor="margin" w:y="1"/>
          <w:rPr>
            <w:rStyle w:val="PageNumber"/>
            <w:sz w:val="18"/>
            <w:szCs w:val="18"/>
          </w:rPr>
        </w:pPr>
        <w:r w:rsidRPr="0069655E">
          <w:rPr>
            <w:rStyle w:val="PageNumber"/>
            <w:sz w:val="18"/>
            <w:szCs w:val="18"/>
          </w:rPr>
          <w:fldChar w:fldCharType="begin"/>
        </w:r>
        <w:r w:rsidRPr="0069655E">
          <w:rPr>
            <w:rStyle w:val="PageNumber"/>
            <w:sz w:val="18"/>
            <w:szCs w:val="18"/>
          </w:rPr>
          <w:instrText xml:space="preserve"> PAGE </w:instrText>
        </w:r>
        <w:r w:rsidRPr="0069655E">
          <w:rPr>
            <w:rStyle w:val="PageNumber"/>
            <w:sz w:val="18"/>
            <w:szCs w:val="18"/>
          </w:rPr>
          <w:fldChar w:fldCharType="separate"/>
        </w:r>
        <w:r w:rsidRPr="0069655E">
          <w:rPr>
            <w:rStyle w:val="PageNumber"/>
            <w:noProof/>
            <w:sz w:val="18"/>
            <w:szCs w:val="18"/>
          </w:rPr>
          <w:t>1</w:t>
        </w:r>
        <w:r w:rsidRPr="0069655E">
          <w:rPr>
            <w:rStyle w:val="PageNumber"/>
            <w:sz w:val="18"/>
            <w:szCs w:val="18"/>
          </w:rPr>
          <w:fldChar w:fldCharType="end"/>
        </w:r>
      </w:p>
    </w:sdtContent>
  </w:sdt>
  <w:p w14:paraId="12F81131" w14:textId="73939E63" w:rsidR="0088742D" w:rsidRDefault="0088742D" w:rsidP="00F53A8B">
    <w:pPr>
      <w:pStyle w:val="Footer"/>
      <w:tabs>
        <w:tab w:val="clear" w:pos="4680"/>
        <w:tab w:val="clear" w:pos="9360"/>
        <w:tab w:val="left" w:pos="7785"/>
      </w:tabs>
      <w:ind w:firstLine="360"/>
    </w:pPr>
    <w:r w:rsidRPr="00B3244E">
      <w:rPr>
        <w:noProof/>
      </w:rPr>
      <w:drawing>
        <wp:anchor distT="0" distB="0" distL="114300" distR="114300" simplePos="0" relativeHeight="251670528" behindDoc="1" locked="0" layoutInCell="1" allowOverlap="1" wp14:anchorId="51B83EDF" wp14:editId="50F80112">
          <wp:simplePos x="0" y="0"/>
          <wp:positionH relativeFrom="page">
            <wp:align>right</wp:align>
          </wp:positionH>
          <wp:positionV relativeFrom="paragraph">
            <wp:posOffset>-79375</wp:posOffset>
          </wp:positionV>
          <wp:extent cx="10670400" cy="8280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670400" cy="828000"/>
                  </a:xfrm>
                  <a:prstGeom prst="rect">
                    <a:avLst/>
                  </a:prstGeom>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672BEC" w14:textId="77777777" w:rsidR="00A31215" w:rsidRDefault="00A31215" w:rsidP="001F3FEF">
      <w:pPr>
        <w:spacing w:after="0"/>
      </w:pPr>
      <w:r>
        <w:separator/>
      </w:r>
    </w:p>
  </w:footnote>
  <w:footnote w:type="continuationSeparator" w:id="0">
    <w:p w14:paraId="0559CE06" w14:textId="77777777" w:rsidR="00A31215" w:rsidRDefault="00A31215" w:rsidP="001F3FE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1236466"/>
      <w:docPartObj>
        <w:docPartGallery w:val="Watermarks"/>
        <w:docPartUnique/>
      </w:docPartObj>
    </w:sdtPr>
    <w:sdtContent>
      <w:p w14:paraId="4A117D22" w14:textId="487D77DD" w:rsidR="0088742D" w:rsidRDefault="0088742D" w:rsidP="0088742D">
        <w:pPr>
          <w:pStyle w:val="Header"/>
          <w:ind w:left="720"/>
        </w:pPr>
        <w:r>
          <w:rPr>
            <w:noProof/>
            <w:lang w:val="en-US"/>
          </w:rPr>
          <w:pict w14:anchorId="5767F4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left:0;text-align:left;margin-left:0;margin-top:0;width:412.4pt;height:247.45pt;rotation:315;z-index:-2516439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Pr="004E07B7">
          <w:rPr>
            <w:noProof/>
          </w:rPr>
          <w:drawing>
            <wp:anchor distT="0" distB="0" distL="114300" distR="114300" simplePos="0" relativeHeight="251674624" behindDoc="1" locked="0" layoutInCell="1" allowOverlap="1" wp14:anchorId="106C34DA" wp14:editId="40925176">
              <wp:simplePos x="0" y="0"/>
              <wp:positionH relativeFrom="column">
                <wp:align>right</wp:align>
              </wp:positionH>
              <wp:positionV relativeFrom="paragraph">
                <wp:posOffset>21590</wp:posOffset>
              </wp:positionV>
              <wp:extent cx="1526400" cy="378000"/>
              <wp:effectExtent l="0" t="0" r="0"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CLP_Main_Logo_CMYK.png"/>
                      <pic:cNvPicPr/>
                    </pic:nvPicPr>
                    <pic:blipFill>
                      <a:blip r:embed="rId1">
                        <a:extLst>
                          <a:ext uri="{28A0092B-C50C-407E-A947-70E740481C1C}">
                            <a14:useLocalDpi xmlns:a14="http://schemas.microsoft.com/office/drawing/2010/main" val="0"/>
                          </a:ext>
                        </a:extLst>
                      </a:blip>
                      <a:stretch>
                        <a:fillRect/>
                      </a:stretch>
                    </pic:blipFill>
                    <pic:spPr>
                      <a:xfrm>
                        <a:off x="0" y="0"/>
                        <a:ext cx="1526400" cy="378000"/>
                      </a:xfrm>
                      <a:prstGeom prst="rect">
                        <a:avLst/>
                      </a:prstGeom>
                    </pic:spPr>
                  </pic:pic>
                </a:graphicData>
              </a:graphic>
              <wp14:sizeRelH relativeFrom="page">
                <wp14:pctWidth>0</wp14:pctWidth>
              </wp14:sizeRelH>
              <wp14:sizeRelV relativeFrom="page">
                <wp14:pctHeight>0</wp14:pctHeight>
              </wp14:sizeRelV>
            </wp:anchor>
          </w:drawing>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E5909" w14:textId="77777777" w:rsidR="0088742D" w:rsidRDefault="0088742D">
    <w:pPr>
      <w:pStyle w:val="Header"/>
    </w:pPr>
  </w:p>
  <w:p w14:paraId="594A8E40" w14:textId="0E1C9D1E" w:rsidR="0088742D" w:rsidRDefault="00525A08">
    <w:pPr>
      <w:pStyle w:val="Header"/>
    </w:pPr>
    <w:r w:rsidRPr="004E07B7">
      <w:rPr>
        <w:noProof/>
      </w:rPr>
      <w:drawing>
        <wp:anchor distT="0" distB="0" distL="114300" distR="114300" simplePos="0" relativeHeight="251678720" behindDoc="1" locked="0" layoutInCell="1" allowOverlap="1" wp14:anchorId="7AC43680" wp14:editId="456E62F7">
          <wp:simplePos x="0" y="0"/>
          <wp:positionH relativeFrom="column">
            <wp:align>right</wp:align>
          </wp:positionH>
          <wp:positionV relativeFrom="paragraph">
            <wp:posOffset>21590</wp:posOffset>
          </wp:positionV>
          <wp:extent cx="1526400" cy="378000"/>
          <wp:effectExtent l="0" t="0" r="0" b="317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CLP_Main_Logo_CMYK.png"/>
                  <pic:cNvPicPr/>
                </pic:nvPicPr>
                <pic:blipFill>
                  <a:blip r:embed="rId1">
                    <a:extLst>
                      <a:ext uri="{28A0092B-C50C-407E-A947-70E740481C1C}">
                        <a14:useLocalDpi xmlns:a14="http://schemas.microsoft.com/office/drawing/2010/main" val="0"/>
                      </a:ext>
                    </a:extLst>
                  </a:blip>
                  <a:stretch>
                    <a:fillRect/>
                  </a:stretch>
                </pic:blipFill>
                <pic:spPr>
                  <a:xfrm>
                    <a:off x="0" y="0"/>
                    <a:ext cx="1526400" cy="378000"/>
                  </a:xfrm>
                  <a:prstGeom prst="rect">
                    <a:avLst/>
                  </a:prstGeom>
                </pic:spPr>
              </pic:pic>
            </a:graphicData>
          </a:graphic>
          <wp14:sizeRelH relativeFrom="page">
            <wp14:pctWidth>0</wp14:pctWidth>
          </wp14:sizeRelH>
          <wp14:sizeRelV relativeFrom="page">
            <wp14:pctHeight>0</wp14:pctHeight>
          </wp14:sizeRelV>
        </wp:anchor>
      </w:drawing>
    </w:r>
  </w:p>
  <w:p w14:paraId="1C40213E" w14:textId="77777777" w:rsidR="0088742D" w:rsidRDefault="0088742D">
    <w:pPr>
      <w:pStyle w:val="Header"/>
    </w:pPr>
  </w:p>
  <w:tbl>
    <w:tblPr>
      <w:tblStyle w:val="TableGrid"/>
      <w:tblW w:w="10348"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gridCol w:w="5701"/>
    </w:tblGrid>
    <w:tr w:rsidR="0088742D" w:rsidRPr="008908FF" w14:paraId="53F5ADD0" w14:textId="77777777" w:rsidTr="0088742D">
      <w:tc>
        <w:tcPr>
          <w:tcW w:w="4647" w:type="dxa"/>
        </w:tcPr>
        <w:p w14:paraId="634801E4" w14:textId="77777777" w:rsidR="0088742D" w:rsidRPr="008908FF" w:rsidRDefault="0088742D" w:rsidP="0088742D">
          <w:pPr>
            <w:jc w:val="both"/>
            <w:rPr>
              <w:rFonts w:ascii="Times New Roman" w:eastAsia="Calibri" w:hAnsi="Times New Roman" w:cs="Times New Roman"/>
              <w:b/>
              <w:color w:val="365F91"/>
              <w:sz w:val="24"/>
            </w:rPr>
          </w:pPr>
        </w:p>
      </w:tc>
      <w:tc>
        <w:tcPr>
          <w:tcW w:w="5701" w:type="dxa"/>
        </w:tcPr>
        <w:p w14:paraId="5C7D74C6" w14:textId="77777777" w:rsidR="0088742D" w:rsidRPr="008908FF" w:rsidRDefault="0088742D" w:rsidP="0088742D">
          <w:pPr>
            <w:jc w:val="both"/>
            <w:rPr>
              <w:rFonts w:ascii="Times New Roman" w:eastAsia="Calibri" w:hAnsi="Times New Roman" w:cs="Times New Roman"/>
              <w:b/>
              <w:color w:val="365F91"/>
              <w:sz w:val="24"/>
            </w:rPr>
          </w:pPr>
        </w:p>
      </w:tc>
    </w:tr>
  </w:tbl>
  <w:p w14:paraId="1319F542" w14:textId="77777777" w:rsidR="0088742D" w:rsidRDefault="008874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A34D4" w14:textId="77777777" w:rsidR="0088742D" w:rsidRDefault="0088742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083C1" w14:textId="77777777" w:rsidR="0088742D" w:rsidRDefault="0088742D">
    <w:pPr>
      <w:pStyle w:val="Header"/>
    </w:pPr>
    <w:r w:rsidRPr="004E07B7">
      <w:rPr>
        <w:noProof/>
      </w:rPr>
      <w:drawing>
        <wp:anchor distT="0" distB="0" distL="114300" distR="114300" simplePos="0" relativeHeight="251668480" behindDoc="1" locked="0" layoutInCell="1" allowOverlap="1" wp14:anchorId="316CB380" wp14:editId="267062FD">
          <wp:simplePos x="0" y="0"/>
          <wp:positionH relativeFrom="column">
            <wp:align>right</wp:align>
          </wp:positionH>
          <wp:positionV relativeFrom="paragraph">
            <wp:posOffset>22860</wp:posOffset>
          </wp:positionV>
          <wp:extent cx="1526400" cy="378000"/>
          <wp:effectExtent l="0" t="0" r="0"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CLP_Main_Logo_CMYK.png"/>
                  <pic:cNvPicPr/>
                </pic:nvPicPr>
                <pic:blipFill>
                  <a:blip r:embed="rId1">
                    <a:extLst>
                      <a:ext uri="{28A0092B-C50C-407E-A947-70E740481C1C}">
                        <a14:useLocalDpi xmlns:a14="http://schemas.microsoft.com/office/drawing/2010/main" val="0"/>
                      </a:ext>
                    </a:extLst>
                  </a:blip>
                  <a:stretch>
                    <a:fillRect/>
                  </a:stretch>
                </pic:blipFill>
                <pic:spPr>
                  <a:xfrm>
                    <a:off x="0" y="0"/>
                    <a:ext cx="1526400" cy="378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1A6F49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38A37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6648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6ECD6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06034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B0F4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5EDF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3A2C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1E88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10DB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7A78B3"/>
    <w:multiLevelType w:val="hybridMultilevel"/>
    <w:tmpl w:val="76A4F5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B3A64B9"/>
    <w:multiLevelType w:val="hybridMultilevel"/>
    <w:tmpl w:val="C7FA5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C294572"/>
    <w:multiLevelType w:val="hybridMultilevel"/>
    <w:tmpl w:val="F53CC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C913710"/>
    <w:multiLevelType w:val="hybridMultilevel"/>
    <w:tmpl w:val="21482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9E7CB7"/>
    <w:multiLevelType w:val="hybridMultilevel"/>
    <w:tmpl w:val="95B4A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1E4E7E"/>
    <w:multiLevelType w:val="hybridMultilevel"/>
    <w:tmpl w:val="49082788"/>
    <w:lvl w:ilvl="0" w:tplc="ADAE57F8">
      <w:start w:val="1"/>
      <w:numFmt w:val="bullet"/>
      <w:lvlText w:val=""/>
      <w:lvlJc w:val="left"/>
      <w:pPr>
        <w:ind w:left="720" w:hanging="360"/>
      </w:pPr>
      <w:rPr>
        <w:rFonts w:ascii="Symbol" w:hAnsi="Symbol" w:hint="default"/>
      </w:rPr>
    </w:lvl>
    <w:lvl w:ilvl="1" w:tplc="005C103E">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272A64"/>
    <w:multiLevelType w:val="hybridMultilevel"/>
    <w:tmpl w:val="0E8C5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29461E"/>
    <w:multiLevelType w:val="hybridMultilevel"/>
    <w:tmpl w:val="045CB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6F4789"/>
    <w:multiLevelType w:val="hybridMultilevel"/>
    <w:tmpl w:val="337C7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BB7F56"/>
    <w:multiLevelType w:val="multilevel"/>
    <w:tmpl w:val="965E3CE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859"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15:restartNumberingAfterBreak="0">
    <w:nsid w:val="278550D2"/>
    <w:multiLevelType w:val="hybridMultilevel"/>
    <w:tmpl w:val="81FAC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88113FB"/>
    <w:multiLevelType w:val="hybridMultilevel"/>
    <w:tmpl w:val="7310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922267F"/>
    <w:multiLevelType w:val="hybridMultilevel"/>
    <w:tmpl w:val="41F6D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5A2DE9"/>
    <w:multiLevelType w:val="hybridMultilevel"/>
    <w:tmpl w:val="E3CA4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C050DD"/>
    <w:multiLevelType w:val="hybridMultilevel"/>
    <w:tmpl w:val="D54C6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4209ED"/>
    <w:multiLevelType w:val="hybridMultilevel"/>
    <w:tmpl w:val="FFE0E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3D5782"/>
    <w:multiLevelType w:val="hybridMultilevel"/>
    <w:tmpl w:val="B8B47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3E0DCE"/>
    <w:multiLevelType w:val="hybridMultilevel"/>
    <w:tmpl w:val="F11C4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7C7D70"/>
    <w:multiLevelType w:val="hybridMultilevel"/>
    <w:tmpl w:val="ECD06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B718E3"/>
    <w:multiLevelType w:val="hybridMultilevel"/>
    <w:tmpl w:val="C06CA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690709"/>
    <w:multiLevelType w:val="hybridMultilevel"/>
    <w:tmpl w:val="30EE9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8C71F3"/>
    <w:multiLevelType w:val="hybridMultilevel"/>
    <w:tmpl w:val="9DC40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223395"/>
    <w:multiLevelType w:val="hybridMultilevel"/>
    <w:tmpl w:val="0B5E6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F345CD"/>
    <w:multiLevelType w:val="hybridMultilevel"/>
    <w:tmpl w:val="2140F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6A0843"/>
    <w:multiLevelType w:val="hybridMultilevel"/>
    <w:tmpl w:val="3C50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EA303B"/>
    <w:multiLevelType w:val="hybridMultilevel"/>
    <w:tmpl w:val="14BA7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53639E"/>
    <w:multiLevelType w:val="hybridMultilevel"/>
    <w:tmpl w:val="F59E7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7450B2"/>
    <w:multiLevelType w:val="hybridMultilevel"/>
    <w:tmpl w:val="E430A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B34E08"/>
    <w:multiLevelType w:val="hybridMultilevel"/>
    <w:tmpl w:val="99A259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B1C5A12"/>
    <w:multiLevelType w:val="hybridMultilevel"/>
    <w:tmpl w:val="7C72A7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DF0861"/>
    <w:multiLevelType w:val="hybridMultilevel"/>
    <w:tmpl w:val="5470C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E249AD"/>
    <w:multiLevelType w:val="hybridMultilevel"/>
    <w:tmpl w:val="8CEEF3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2F97870"/>
    <w:multiLevelType w:val="hybridMultilevel"/>
    <w:tmpl w:val="4D041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554FD1"/>
    <w:multiLevelType w:val="hybridMultilevel"/>
    <w:tmpl w:val="7500D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6"/>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6"/>
  </w:num>
  <w:num w:numId="13">
    <w:abstractNumId w:val="41"/>
  </w:num>
  <w:num w:numId="14">
    <w:abstractNumId w:val="15"/>
  </w:num>
  <w:num w:numId="15">
    <w:abstractNumId w:val="34"/>
  </w:num>
  <w:num w:numId="16">
    <w:abstractNumId w:val="17"/>
  </w:num>
  <w:num w:numId="17">
    <w:abstractNumId w:val="19"/>
  </w:num>
  <w:num w:numId="18">
    <w:abstractNumId w:val="39"/>
  </w:num>
  <w:num w:numId="19">
    <w:abstractNumId w:val="35"/>
  </w:num>
  <w:num w:numId="20">
    <w:abstractNumId w:val="14"/>
  </w:num>
  <w:num w:numId="21">
    <w:abstractNumId w:val="25"/>
  </w:num>
  <w:num w:numId="22">
    <w:abstractNumId w:val="27"/>
  </w:num>
  <w:num w:numId="23">
    <w:abstractNumId w:val="23"/>
  </w:num>
  <w:num w:numId="24">
    <w:abstractNumId w:val="29"/>
  </w:num>
  <w:num w:numId="25">
    <w:abstractNumId w:val="40"/>
  </w:num>
  <w:num w:numId="26">
    <w:abstractNumId w:val="18"/>
  </w:num>
  <w:num w:numId="27">
    <w:abstractNumId w:val="22"/>
  </w:num>
  <w:num w:numId="28">
    <w:abstractNumId w:val="26"/>
  </w:num>
  <w:num w:numId="29">
    <w:abstractNumId w:val="33"/>
  </w:num>
  <w:num w:numId="30">
    <w:abstractNumId w:val="11"/>
  </w:num>
  <w:num w:numId="31">
    <w:abstractNumId w:val="13"/>
  </w:num>
  <w:num w:numId="32">
    <w:abstractNumId w:val="20"/>
  </w:num>
  <w:num w:numId="33">
    <w:abstractNumId w:val="30"/>
  </w:num>
  <w:num w:numId="34">
    <w:abstractNumId w:val="37"/>
  </w:num>
  <w:num w:numId="35">
    <w:abstractNumId w:val="12"/>
  </w:num>
  <w:num w:numId="36">
    <w:abstractNumId w:val="43"/>
  </w:num>
  <w:num w:numId="37">
    <w:abstractNumId w:val="28"/>
  </w:num>
  <w:num w:numId="38">
    <w:abstractNumId w:val="10"/>
  </w:num>
  <w:num w:numId="39">
    <w:abstractNumId w:val="38"/>
  </w:num>
  <w:num w:numId="40">
    <w:abstractNumId w:val="21"/>
  </w:num>
  <w:num w:numId="41">
    <w:abstractNumId w:val="32"/>
  </w:num>
  <w:num w:numId="42">
    <w:abstractNumId w:val="31"/>
  </w:num>
  <w:num w:numId="43">
    <w:abstractNumId w:val="24"/>
  </w:num>
  <w:num w:numId="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529"/>
    <w:rsid w:val="000718EF"/>
    <w:rsid w:val="00074A4E"/>
    <w:rsid w:val="000B59F6"/>
    <w:rsid w:val="000C7C10"/>
    <w:rsid w:val="0010368C"/>
    <w:rsid w:val="0016658C"/>
    <w:rsid w:val="001875F9"/>
    <w:rsid w:val="001F3FEF"/>
    <w:rsid w:val="00240142"/>
    <w:rsid w:val="002A5104"/>
    <w:rsid w:val="002B505D"/>
    <w:rsid w:val="002C36D9"/>
    <w:rsid w:val="0034445A"/>
    <w:rsid w:val="0036554E"/>
    <w:rsid w:val="00372305"/>
    <w:rsid w:val="003966D7"/>
    <w:rsid w:val="003C2F11"/>
    <w:rsid w:val="004808BD"/>
    <w:rsid w:val="004A61CA"/>
    <w:rsid w:val="004C0A4F"/>
    <w:rsid w:val="004C0E9D"/>
    <w:rsid w:val="004E07B7"/>
    <w:rsid w:val="004F7E29"/>
    <w:rsid w:val="00525A08"/>
    <w:rsid w:val="00587C73"/>
    <w:rsid w:val="005F4524"/>
    <w:rsid w:val="00615191"/>
    <w:rsid w:val="00632A6E"/>
    <w:rsid w:val="00667BC5"/>
    <w:rsid w:val="0069655E"/>
    <w:rsid w:val="007561F8"/>
    <w:rsid w:val="007A7979"/>
    <w:rsid w:val="007B30AD"/>
    <w:rsid w:val="007F3FC5"/>
    <w:rsid w:val="008162D2"/>
    <w:rsid w:val="00824C30"/>
    <w:rsid w:val="00862529"/>
    <w:rsid w:val="0088742D"/>
    <w:rsid w:val="008D0CBD"/>
    <w:rsid w:val="008D2EB4"/>
    <w:rsid w:val="008F02A1"/>
    <w:rsid w:val="009828D7"/>
    <w:rsid w:val="00A23D28"/>
    <w:rsid w:val="00A31215"/>
    <w:rsid w:val="00A448C1"/>
    <w:rsid w:val="00A50F05"/>
    <w:rsid w:val="00A85837"/>
    <w:rsid w:val="00B32097"/>
    <w:rsid w:val="00B3374C"/>
    <w:rsid w:val="00B84A43"/>
    <w:rsid w:val="00C13A28"/>
    <w:rsid w:val="00C734B8"/>
    <w:rsid w:val="00CE3C77"/>
    <w:rsid w:val="00D05D22"/>
    <w:rsid w:val="00D41CEC"/>
    <w:rsid w:val="00D4778E"/>
    <w:rsid w:val="00E36858"/>
    <w:rsid w:val="00E75EF4"/>
    <w:rsid w:val="00F339F6"/>
    <w:rsid w:val="00F53A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C80FDEF"/>
  <w14:defaultImageDpi w14:val="32767"/>
  <w15:chartTrackingRefBased/>
  <w15:docId w15:val="{0817F48C-5C19-48F4-8032-4EFE1C3CE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Main body copy"/>
    <w:qFormat/>
    <w:rsid w:val="0088742D"/>
    <w:pPr>
      <w:spacing w:after="200"/>
    </w:pPr>
    <w:rPr>
      <w:sz w:val="22"/>
    </w:rPr>
  </w:style>
  <w:style w:type="paragraph" w:styleId="Heading1">
    <w:name w:val="heading 1"/>
    <w:basedOn w:val="Normal"/>
    <w:next w:val="Normal"/>
    <w:link w:val="Heading1Char"/>
    <w:uiPriority w:val="9"/>
    <w:qFormat/>
    <w:rsid w:val="00E75EF4"/>
    <w:pPr>
      <w:outlineLvl w:val="0"/>
    </w:pPr>
    <w:rPr>
      <w:rFonts w:ascii="Calibri" w:hAnsi="Calibri"/>
      <w:color w:val="41B6E6" w:themeColor="accent1"/>
      <w:sz w:val="40"/>
      <w:szCs w:val="40"/>
      <w:lang w:val="en-AU"/>
    </w:rPr>
  </w:style>
  <w:style w:type="paragraph" w:styleId="Heading2">
    <w:name w:val="heading 2"/>
    <w:aliases w:val="Sub heading"/>
    <w:basedOn w:val="Normal"/>
    <w:next w:val="Normal"/>
    <w:link w:val="Heading2Char"/>
    <w:uiPriority w:val="9"/>
    <w:unhideWhenUsed/>
    <w:qFormat/>
    <w:rsid w:val="007F3FC5"/>
    <w:pPr>
      <w:outlineLvl w:val="1"/>
    </w:pPr>
    <w:rPr>
      <w:rFonts w:ascii="Calibri" w:hAnsi="Calibri"/>
      <w:b/>
      <w:color w:val="404040" w:themeColor="text1" w:themeTint="BF"/>
      <w:sz w:val="32"/>
      <w:szCs w:val="30"/>
      <w:lang w:val="en-AU"/>
    </w:rPr>
  </w:style>
  <w:style w:type="paragraph" w:styleId="Heading3">
    <w:name w:val="heading 3"/>
    <w:aliases w:val="Tertiary heading"/>
    <w:basedOn w:val="Normal"/>
    <w:next w:val="Normal"/>
    <w:link w:val="Heading3Char"/>
    <w:uiPriority w:val="9"/>
    <w:unhideWhenUsed/>
    <w:qFormat/>
    <w:rsid w:val="00E75EF4"/>
    <w:pPr>
      <w:outlineLvl w:val="2"/>
    </w:pPr>
    <w:rPr>
      <w:rFonts w:ascii="Calibri" w:hAnsi="Calibri"/>
      <w:b/>
      <w:color w:val="404040" w:themeColor="text1" w:themeTint="BF"/>
      <w:sz w:val="26"/>
      <w:szCs w:val="26"/>
      <w:lang w:val="en-AU"/>
    </w:rPr>
  </w:style>
  <w:style w:type="paragraph" w:styleId="Heading4">
    <w:name w:val="heading 4"/>
    <w:basedOn w:val="Normal"/>
    <w:next w:val="Normal"/>
    <w:link w:val="Heading4Char"/>
    <w:uiPriority w:val="9"/>
    <w:unhideWhenUsed/>
    <w:qFormat/>
    <w:rsid w:val="007F3FC5"/>
    <w:pPr>
      <w:keepNext/>
      <w:keepLines/>
      <w:spacing w:before="40" w:after="0"/>
      <w:outlineLvl w:val="3"/>
    </w:pPr>
    <w:rPr>
      <w:rFonts w:ascii="Calibri Light" w:eastAsiaTheme="majorEastAsia" w:hAnsi="Calibri Light" w:cstheme="majorBidi"/>
      <w:iCs/>
      <w:color w:val="404040" w:themeColor="text1" w:themeTint="BF"/>
    </w:rPr>
  </w:style>
  <w:style w:type="paragraph" w:styleId="Heading5">
    <w:name w:val="heading 5"/>
    <w:basedOn w:val="Normal"/>
    <w:next w:val="Normal"/>
    <w:link w:val="Heading5Char"/>
    <w:uiPriority w:val="9"/>
    <w:semiHidden/>
    <w:unhideWhenUsed/>
    <w:qFormat/>
    <w:rsid w:val="0088742D"/>
    <w:pPr>
      <w:keepNext/>
      <w:keepLines/>
      <w:spacing w:before="200" w:after="0" w:line="276" w:lineRule="auto"/>
      <w:ind w:left="1008" w:hanging="1008"/>
      <w:outlineLvl w:val="4"/>
    </w:pPr>
    <w:rPr>
      <w:rFonts w:asciiTheme="majorHAnsi" w:eastAsiaTheme="majorEastAsia" w:hAnsiTheme="majorHAnsi" w:cstheme="majorBidi"/>
      <w:color w:val="116081" w:themeColor="accent1" w:themeShade="7F"/>
      <w:szCs w:val="22"/>
      <w:lang w:eastAsia="en-GB"/>
    </w:rPr>
  </w:style>
  <w:style w:type="paragraph" w:styleId="Heading6">
    <w:name w:val="heading 6"/>
    <w:basedOn w:val="Normal"/>
    <w:next w:val="Normal"/>
    <w:link w:val="Heading6Char"/>
    <w:uiPriority w:val="9"/>
    <w:semiHidden/>
    <w:unhideWhenUsed/>
    <w:qFormat/>
    <w:rsid w:val="0088742D"/>
    <w:pPr>
      <w:keepNext/>
      <w:keepLines/>
      <w:spacing w:before="200" w:after="0" w:line="276" w:lineRule="auto"/>
      <w:ind w:left="1152" w:hanging="1152"/>
      <w:outlineLvl w:val="5"/>
    </w:pPr>
    <w:rPr>
      <w:rFonts w:asciiTheme="majorHAnsi" w:eastAsiaTheme="majorEastAsia" w:hAnsiTheme="majorHAnsi" w:cstheme="majorBidi"/>
      <w:i/>
      <w:iCs/>
      <w:color w:val="116081" w:themeColor="accent1" w:themeShade="7F"/>
      <w:szCs w:val="22"/>
      <w:lang w:eastAsia="en-GB"/>
    </w:rPr>
  </w:style>
  <w:style w:type="paragraph" w:styleId="Heading7">
    <w:name w:val="heading 7"/>
    <w:basedOn w:val="Normal"/>
    <w:next w:val="Normal"/>
    <w:link w:val="Heading7Char"/>
    <w:uiPriority w:val="9"/>
    <w:semiHidden/>
    <w:unhideWhenUsed/>
    <w:qFormat/>
    <w:rsid w:val="0088742D"/>
    <w:pPr>
      <w:keepNext/>
      <w:keepLines/>
      <w:spacing w:before="200" w:after="0" w:line="276" w:lineRule="auto"/>
      <w:ind w:left="1296" w:hanging="1296"/>
      <w:outlineLvl w:val="6"/>
    </w:pPr>
    <w:rPr>
      <w:rFonts w:asciiTheme="majorHAnsi" w:eastAsiaTheme="majorEastAsia" w:hAnsiTheme="majorHAnsi" w:cstheme="majorBidi"/>
      <w:i/>
      <w:iCs/>
      <w:color w:val="404040" w:themeColor="text1" w:themeTint="BF"/>
      <w:szCs w:val="22"/>
      <w:lang w:eastAsia="en-GB"/>
    </w:rPr>
  </w:style>
  <w:style w:type="paragraph" w:styleId="Heading8">
    <w:name w:val="heading 8"/>
    <w:basedOn w:val="Normal"/>
    <w:next w:val="Normal"/>
    <w:link w:val="Heading8Char"/>
    <w:uiPriority w:val="9"/>
    <w:semiHidden/>
    <w:unhideWhenUsed/>
    <w:qFormat/>
    <w:rsid w:val="0088742D"/>
    <w:pPr>
      <w:keepNext/>
      <w:keepLines/>
      <w:spacing w:before="200" w:after="0" w:line="276" w:lineRule="auto"/>
      <w:ind w:left="1440" w:hanging="1440"/>
      <w:outlineLvl w:val="7"/>
    </w:pPr>
    <w:rPr>
      <w:rFonts w:asciiTheme="majorHAnsi" w:eastAsiaTheme="majorEastAsia" w:hAnsiTheme="majorHAnsi" w:cstheme="majorBidi"/>
      <w:color w:val="41B6E6" w:themeColor="accent1"/>
      <w:sz w:val="20"/>
      <w:szCs w:val="20"/>
      <w:lang w:eastAsia="en-GB"/>
    </w:rPr>
  </w:style>
  <w:style w:type="paragraph" w:styleId="Heading9">
    <w:name w:val="heading 9"/>
    <w:basedOn w:val="Normal"/>
    <w:next w:val="Normal"/>
    <w:link w:val="Heading9Char"/>
    <w:uiPriority w:val="9"/>
    <w:semiHidden/>
    <w:unhideWhenUsed/>
    <w:qFormat/>
    <w:rsid w:val="0088742D"/>
    <w:pPr>
      <w:keepNext/>
      <w:keepLines/>
      <w:spacing w:before="200" w:after="0" w:line="276" w:lineRule="auto"/>
      <w:ind w:left="1584" w:hanging="1584"/>
      <w:outlineLvl w:val="8"/>
    </w:pPr>
    <w:rPr>
      <w:rFonts w:asciiTheme="majorHAnsi" w:eastAsiaTheme="majorEastAsia" w:hAnsiTheme="majorHAnsi" w:cstheme="majorBidi"/>
      <w:i/>
      <w:iCs/>
      <w:color w:val="404040" w:themeColor="text1" w:themeTint="BF"/>
      <w:sz w:val="20"/>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3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F3FEF"/>
    <w:rPr>
      <w:b/>
      <w:bCs/>
    </w:rPr>
  </w:style>
  <w:style w:type="paragraph" w:styleId="Header">
    <w:name w:val="header"/>
    <w:basedOn w:val="Normal"/>
    <w:link w:val="HeaderChar"/>
    <w:uiPriority w:val="99"/>
    <w:unhideWhenUsed/>
    <w:rsid w:val="001F3FEF"/>
    <w:pPr>
      <w:tabs>
        <w:tab w:val="center" w:pos="4680"/>
        <w:tab w:val="right" w:pos="9360"/>
      </w:tabs>
    </w:pPr>
  </w:style>
  <w:style w:type="character" w:customStyle="1" w:styleId="HeaderChar">
    <w:name w:val="Header Char"/>
    <w:basedOn w:val="DefaultParagraphFont"/>
    <w:link w:val="Header"/>
    <w:uiPriority w:val="99"/>
    <w:rsid w:val="001F3FEF"/>
  </w:style>
  <w:style w:type="paragraph" w:styleId="Footer">
    <w:name w:val="footer"/>
    <w:basedOn w:val="Normal"/>
    <w:link w:val="FooterChar"/>
    <w:uiPriority w:val="99"/>
    <w:unhideWhenUsed/>
    <w:rsid w:val="001F3FEF"/>
    <w:pPr>
      <w:tabs>
        <w:tab w:val="center" w:pos="4680"/>
        <w:tab w:val="right" w:pos="9360"/>
      </w:tabs>
    </w:pPr>
  </w:style>
  <w:style w:type="character" w:customStyle="1" w:styleId="FooterChar">
    <w:name w:val="Footer Char"/>
    <w:basedOn w:val="DefaultParagraphFont"/>
    <w:link w:val="Footer"/>
    <w:uiPriority w:val="99"/>
    <w:rsid w:val="001F3FEF"/>
  </w:style>
  <w:style w:type="character" w:customStyle="1" w:styleId="Heading1Char">
    <w:name w:val="Heading 1 Char"/>
    <w:basedOn w:val="DefaultParagraphFont"/>
    <w:link w:val="Heading1"/>
    <w:uiPriority w:val="9"/>
    <w:rsid w:val="00E75EF4"/>
    <w:rPr>
      <w:rFonts w:ascii="Calibri" w:hAnsi="Calibri"/>
      <w:color w:val="41B6E6" w:themeColor="accent1"/>
      <w:sz w:val="40"/>
      <w:szCs w:val="40"/>
      <w:lang w:val="en-AU"/>
    </w:rPr>
  </w:style>
  <w:style w:type="paragraph" w:styleId="Title">
    <w:name w:val="Title"/>
    <w:basedOn w:val="Normal"/>
    <w:next w:val="Normal"/>
    <w:link w:val="TitleChar"/>
    <w:uiPriority w:val="10"/>
    <w:qFormat/>
    <w:rsid w:val="007F3FC5"/>
    <w:pPr>
      <w:contextualSpacing/>
    </w:pPr>
    <w:rPr>
      <w:rFonts w:ascii="Calibri Light" w:eastAsiaTheme="majorEastAsia" w:hAnsi="Calibri Light" w:cstheme="majorBidi"/>
      <w:color w:val="41B6E6" w:themeColor="accent1"/>
      <w:spacing w:val="-10"/>
      <w:kern w:val="28"/>
      <w:sz w:val="60"/>
      <w:szCs w:val="56"/>
    </w:rPr>
  </w:style>
  <w:style w:type="character" w:customStyle="1" w:styleId="TitleChar">
    <w:name w:val="Title Char"/>
    <w:basedOn w:val="DefaultParagraphFont"/>
    <w:link w:val="Title"/>
    <w:uiPriority w:val="10"/>
    <w:rsid w:val="007F3FC5"/>
    <w:rPr>
      <w:rFonts w:ascii="Calibri Light" w:eastAsiaTheme="majorEastAsia" w:hAnsi="Calibri Light" w:cstheme="majorBidi"/>
      <w:color w:val="41B6E6" w:themeColor="accent1"/>
      <w:spacing w:val="-10"/>
      <w:kern w:val="28"/>
      <w:sz w:val="60"/>
      <w:szCs w:val="56"/>
    </w:rPr>
  </w:style>
  <w:style w:type="character" w:customStyle="1" w:styleId="Heading2Char">
    <w:name w:val="Heading 2 Char"/>
    <w:aliases w:val="Sub heading Char"/>
    <w:basedOn w:val="DefaultParagraphFont"/>
    <w:link w:val="Heading2"/>
    <w:uiPriority w:val="9"/>
    <w:rsid w:val="007F3FC5"/>
    <w:rPr>
      <w:rFonts w:ascii="Calibri" w:hAnsi="Calibri"/>
      <w:b/>
      <w:color w:val="404040" w:themeColor="text1" w:themeTint="BF"/>
      <w:sz w:val="32"/>
      <w:szCs w:val="30"/>
      <w:lang w:val="en-AU"/>
    </w:rPr>
  </w:style>
  <w:style w:type="character" w:customStyle="1" w:styleId="Heading3Char">
    <w:name w:val="Heading 3 Char"/>
    <w:aliases w:val="Tertiary heading Char"/>
    <w:basedOn w:val="DefaultParagraphFont"/>
    <w:link w:val="Heading3"/>
    <w:uiPriority w:val="9"/>
    <w:rsid w:val="00E75EF4"/>
    <w:rPr>
      <w:rFonts w:ascii="Calibri" w:hAnsi="Calibri"/>
      <w:b/>
      <w:color w:val="404040" w:themeColor="text1" w:themeTint="BF"/>
      <w:sz w:val="26"/>
      <w:szCs w:val="26"/>
      <w:lang w:val="en-AU"/>
    </w:rPr>
  </w:style>
  <w:style w:type="character" w:customStyle="1" w:styleId="Heading4Char">
    <w:name w:val="Heading 4 Char"/>
    <w:basedOn w:val="DefaultParagraphFont"/>
    <w:link w:val="Heading4"/>
    <w:uiPriority w:val="9"/>
    <w:rsid w:val="007F3FC5"/>
    <w:rPr>
      <w:rFonts w:ascii="Calibri Light" w:eastAsiaTheme="majorEastAsia" w:hAnsi="Calibri Light" w:cstheme="majorBidi"/>
      <w:iCs/>
      <w:color w:val="404040" w:themeColor="text1" w:themeTint="BF"/>
      <w:sz w:val="22"/>
    </w:rPr>
  </w:style>
  <w:style w:type="paragraph" w:styleId="Subtitle">
    <w:name w:val="Subtitle"/>
    <w:basedOn w:val="Normal"/>
    <w:next w:val="Normal"/>
    <w:link w:val="SubtitleChar"/>
    <w:uiPriority w:val="11"/>
    <w:qFormat/>
    <w:rsid w:val="007F3FC5"/>
    <w:rPr>
      <w:rFonts w:ascii="Calibri" w:hAnsi="Calibri"/>
      <w:b/>
      <w:color w:val="404040" w:themeColor="text1" w:themeTint="BF"/>
      <w:sz w:val="30"/>
      <w:szCs w:val="30"/>
      <w:lang w:val="en-AU"/>
    </w:rPr>
  </w:style>
  <w:style w:type="character" w:customStyle="1" w:styleId="SubtitleChar">
    <w:name w:val="Subtitle Char"/>
    <w:basedOn w:val="DefaultParagraphFont"/>
    <w:link w:val="Subtitle"/>
    <w:uiPriority w:val="11"/>
    <w:rsid w:val="007F3FC5"/>
    <w:rPr>
      <w:rFonts w:ascii="Calibri" w:hAnsi="Calibri"/>
      <w:b/>
      <w:color w:val="404040" w:themeColor="text1" w:themeTint="BF"/>
      <w:sz w:val="30"/>
      <w:szCs w:val="30"/>
      <w:lang w:val="en-AU"/>
    </w:rPr>
  </w:style>
  <w:style w:type="character" w:styleId="SubtleEmphasis">
    <w:name w:val="Subtle Emphasis"/>
    <w:basedOn w:val="DefaultParagraphFont"/>
    <w:uiPriority w:val="19"/>
    <w:qFormat/>
    <w:rsid w:val="00A23D28"/>
    <w:rPr>
      <w:rFonts w:asciiTheme="minorHAnsi" w:hAnsiTheme="minorHAnsi"/>
      <w:b/>
      <w:i w:val="0"/>
      <w:iCs/>
      <w:color w:val="404040" w:themeColor="text1" w:themeTint="BF"/>
      <w:sz w:val="24"/>
    </w:rPr>
  </w:style>
  <w:style w:type="character" w:styleId="Hashtag">
    <w:name w:val="Hashtag"/>
    <w:basedOn w:val="DefaultParagraphFont"/>
    <w:uiPriority w:val="99"/>
    <w:rsid w:val="00A23D28"/>
    <w:rPr>
      <w:color w:val="41B6E6" w:themeColor="accent1"/>
      <w:shd w:val="clear" w:color="auto" w:fill="E1DFDD"/>
    </w:rPr>
  </w:style>
  <w:style w:type="paragraph" w:styleId="TOCHeading">
    <w:name w:val="TOC Heading"/>
    <w:basedOn w:val="Heading1"/>
    <w:next w:val="Normal"/>
    <w:uiPriority w:val="39"/>
    <w:unhideWhenUsed/>
    <w:qFormat/>
    <w:rsid w:val="00C13A28"/>
    <w:pPr>
      <w:keepNext/>
      <w:keepLines/>
      <w:spacing w:before="480" w:line="276" w:lineRule="auto"/>
      <w:outlineLvl w:val="9"/>
    </w:pPr>
    <w:rPr>
      <w:rFonts w:asciiTheme="majorHAnsi" w:eastAsiaTheme="majorEastAsia" w:hAnsiTheme="majorHAnsi" w:cstheme="majorBidi"/>
      <w:b/>
      <w:bCs/>
      <w:sz w:val="28"/>
      <w:szCs w:val="28"/>
      <w:lang w:val="en-US"/>
    </w:rPr>
  </w:style>
  <w:style w:type="paragraph" w:styleId="TOC1">
    <w:name w:val="toc 1"/>
    <w:basedOn w:val="Normal"/>
    <w:next w:val="Normal"/>
    <w:autoRedefine/>
    <w:uiPriority w:val="39"/>
    <w:unhideWhenUsed/>
    <w:rsid w:val="003966D7"/>
    <w:pPr>
      <w:spacing w:before="120" w:after="0"/>
    </w:pPr>
    <w:rPr>
      <w:b/>
      <w:bCs/>
      <w:i/>
      <w:iCs/>
      <w:sz w:val="26"/>
    </w:rPr>
  </w:style>
  <w:style w:type="paragraph" w:styleId="TOC2">
    <w:name w:val="toc 2"/>
    <w:basedOn w:val="Normal"/>
    <w:next w:val="Normal"/>
    <w:autoRedefine/>
    <w:uiPriority w:val="39"/>
    <w:unhideWhenUsed/>
    <w:rsid w:val="003966D7"/>
    <w:pPr>
      <w:spacing w:before="120" w:after="0"/>
      <w:ind w:left="238"/>
    </w:pPr>
    <w:rPr>
      <w:b/>
      <w:bCs/>
      <w:sz w:val="24"/>
      <w:szCs w:val="22"/>
    </w:rPr>
  </w:style>
  <w:style w:type="paragraph" w:styleId="TOC3">
    <w:name w:val="toc 3"/>
    <w:basedOn w:val="Normal"/>
    <w:next w:val="Normal"/>
    <w:autoRedefine/>
    <w:uiPriority w:val="39"/>
    <w:unhideWhenUsed/>
    <w:rsid w:val="003966D7"/>
    <w:pPr>
      <w:spacing w:after="0"/>
      <w:ind w:left="482"/>
    </w:pPr>
    <w:rPr>
      <w:szCs w:val="20"/>
    </w:rPr>
  </w:style>
  <w:style w:type="paragraph" w:styleId="TOC4">
    <w:name w:val="toc 4"/>
    <w:basedOn w:val="Normal"/>
    <w:next w:val="Normal"/>
    <w:autoRedefine/>
    <w:uiPriority w:val="39"/>
    <w:semiHidden/>
    <w:unhideWhenUsed/>
    <w:rsid w:val="00B84A43"/>
    <w:pPr>
      <w:ind w:left="720"/>
    </w:pPr>
    <w:rPr>
      <w:sz w:val="20"/>
      <w:szCs w:val="20"/>
    </w:rPr>
  </w:style>
  <w:style w:type="paragraph" w:styleId="TOC5">
    <w:name w:val="toc 5"/>
    <w:basedOn w:val="Normal"/>
    <w:next w:val="Normal"/>
    <w:autoRedefine/>
    <w:uiPriority w:val="39"/>
    <w:semiHidden/>
    <w:unhideWhenUsed/>
    <w:rsid w:val="00B84A43"/>
    <w:pPr>
      <w:ind w:left="960"/>
    </w:pPr>
    <w:rPr>
      <w:sz w:val="20"/>
      <w:szCs w:val="20"/>
    </w:rPr>
  </w:style>
  <w:style w:type="paragraph" w:styleId="TOC6">
    <w:name w:val="toc 6"/>
    <w:basedOn w:val="Normal"/>
    <w:next w:val="Normal"/>
    <w:autoRedefine/>
    <w:uiPriority w:val="39"/>
    <w:semiHidden/>
    <w:unhideWhenUsed/>
    <w:rsid w:val="00B84A43"/>
    <w:pPr>
      <w:ind w:left="1200"/>
    </w:pPr>
    <w:rPr>
      <w:sz w:val="20"/>
      <w:szCs w:val="20"/>
    </w:rPr>
  </w:style>
  <w:style w:type="paragraph" w:styleId="TOC7">
    <w:name w:val="toc 7"/>
    <w:basedOn w:val="Normal"/>
    <w:next w:val="Normal"/>
    <w:autoRedefine/>
    <w:uiPriority w:val="39"/>
    <w:semiHidden/>
    <w:unhideWhenUsed/>
    <w:rsid w:val="00B84A43"/>
    <w:pPr>
      <w:ind w:left="1440"/>
    </w:pPr>
    <w:rPr>
      <w:sz w:val="20"/>
      <w:szCs w:val="20"/>
    </w:rPr>
  </w:style>
  <w:style w:type="paragraph" w:styleId="TOC8">
    <w:name w:val="toc 8"/>
    <w:basedOn w:val="Normal"/>
    <w:next w:val="Normal"/>
    <w:autoRedefine/>
    <w:uiPriority w:val="39"/>
    <w:semiHidden/>
    <w:unhideWhenUsed/>
    <w:rsid w:val="00B84A43"/>
    <w:pPr>
      <w:ind w:left="1680"/>
    </w:pPr>
    <w:rPr>
      <w:sz w:val="20"/>
      <w:szCs w:val="20"/>
    </w:rPr>
  </w:style>
  <w:style w:type="paragraph" w:styleId="TOC9">
    <w:name w:val="toc 9"/>
    <w:basedOn w:val="Normal"/>
    <w:next w:val="Normal"/>
    <w:autoRedefine/>
    <w:uiPriority w:val="39"/>
    <w:semiHidden/>
    <w:unhideWhenUsed/>
    <w:rsid w:val="00B84A43"/>
    <w:pPr>
      <w:ind w:left="1920"/>
    </w:pPr>
    <w:rPr>
      <w:sz w:val="20"/>
      <w:szCs w:val="20"/>
    </w:rPr>
  </w:style>
  <w:style w:type="paragraph" w:styleId="List">
    <w:name w:val="List"/>
    <w:basedOn w:val="Normal"/>
    <w:uiPriority w:val="99"/>
    <w:semiHidden/>
    <w:unhideWhenUsed/>
    <w:rsid w:val="00074A4E"/>
    <w:pPr>
      <w:ind w:left="283" w:hanging="283"/>
      <w:contextualSpacing/>
    </w:pPr>
  </w:style>
  <w:style w:type="character" w:styleId="PageNumber">
    <w:name w:val="page number"/>
    <w:basedOn w:val="DefaultParagraphFont"/>
    <w:uiPriority w:val="99"/>
    <w:semiHidden/>
    <w:unhideWhenUsed/>
    <w:rsid w:val="00C13A28"/>
  </w:style>
  <w:style w:type="character" w:styleId="Hyperlink">
    <w:name w:val="Hyperlink"/>
    <w:basedOn w:val="DefaultParagraphFont"/>
    <w:uiPriority w:val="99"/>
    <w:unhideWhenUsed/>
    <w:rsid w:val="00C13A28"/>
    <w:rPr>
      <w:color w:val="404040" w:themeColor="text1" w:themeTint="BF"/>
      <w:u w:val="single"/>
    </w:rPr>
  </w:style>
  <w:style w:type="paragraph" w:styleId="ListParagraph">
    <w:name w:val="List Paragraph"/>
    <w:basedOn w:val="Normal"/>
    <w:link w:val="ListParagraphChar"/>
    <w:uiPriority w:val="34"/>
    <w:qFormat/>
    <w:rsid w:val="0069655E"/>
    <w:pPr>
      <w:ind w:left="720"/>
      <w:contextualSpacing/>
    </w:pPr>
  </w:style>
  <w:style w:type="character" w:styleId="Emphasis">
    <w:name w:val="Emphasis"/>
    <w:basedOn w:val="DefaultParagraphFont"/>
    <w:uiPriority w:val="20"/>
    <w:qFormat/>
    <w:rsid w:val="008162D2"/>
    <w:rPr>
      <w:i/>
      <w:iCs/>
    </w:rPr>
  </w:style>
  <w:style w:type="character" w:customStyle="1" w:styleId="Heading5Char">
    <w:name w:val="Heading 5 Char"/>
    <w:basedOn w:val="DefaultParagraphFont"/>
    <w:link w:val="Heading5"/>
    <w:uiPriority w:val="9"/>
    <w:semiHidden/>
    <w:rsid w:val="0088742D"/>
    <w:rPr>
      <w:rFonts w:asciiTheme="majorHAnsi" w:eastAsiaTheme="majorEastAsia" w:hAnsiTheme="majorHAnsi" w:cstheme="majorBidi"/>
      <w:color w:val="116081" w:themeColor="accent1" w:themeShade="7F"/>
      <w:sz w:val="22"/>
      <w:szCs w:val="22"/>
      <w:lang w:eastAsia="en-GB"/>
    </w:rPr>
  </w:style>
  <w:style w:type="character" w:customStyle="1" w:styleId="Heading6Char">
    <w:name w:val="Heading 6 Char"/>
    <w:basedOn w:val="DefaultParagraphFont"/>
    <w:link w:val="Heading6"/>
    <w:uiPriority w:val="9"/>
    <w:semiHidden/>
    <w:rsid w:val="0088742D"/>
    <w:rPr>
      <w:rFonts w:asciiTheme="majorHAnsi" w:eastAsiaTheme="majorEastAsia" w:hAnsiTheme="majorHAnsi" w:cstheme="majorBidi"/>
      <w:i/>
      <w:iCs/>
      <w:color w:val="116081" w:themeColor="accent1" w:themeShade="7F"/>
      <w:sz w:val="22"/>
      <w:szCs w:val="22"/>
      <w:lang w:eastAsia="en-GB"/>
    </w:rPr>
  </w:style>
  <w:style w:type="character" w:customStyle="1" w:styleId="Heading7Char">
    <w:name w:val="Heading 7 Char"/>
    <w:basedOn w:val="DefaultParagraphFont"/>
    <w:link w:val="Heading7"/>
    <w:uiPriority w:val="9"/>
    <w:semiHidden/>
    <w:rsid w:val="0088742D"/>
    <w:rPr>
      <w:rFonts w:asciiTheme="majorHAnsi" w:eastAsiaTheme="majorEastAsia" w:hAnsiTheme="majorHAnsi" w:cstheme="majorBidi"/>
      <w:i/>
      <w:iCs/>
      <w:color w:val="404040" w:themeColor="text1" w:themeTint="BF"/>
      <w:sz w:val="22"/>
      <w:szCs w:val="22"/>
      <w:lang w:eastAsia="en-GB"/>
    </w:rPr>
  </w:style>
  <w:style w:type="character" w:customStyle="1" w:styleId="Heading8Char">
    <w:name w:val="Heading 8 Char"/>
    <w:basedOn w:val="DefaultParagraphFont"/>
    <w:link w:val="Heading8"/>
    <w:uiPriority w:val="9"/>
    <w:semiHidden/>
    <w:rsid w:val="0088742D"/>
    <w:rPr>
      <w:rFonts w:asciiTheme="majorHAnsi" w:eastAsiaTheme="majorEastAsia" w:hAnsiTheme="majorHAnsi" w:cstheme="majorBidi"/>
      <w:color w:val="41B6E6" w:themeColor="accent1"/>
      <w:sz w:val="20"/>
      <w:szCs w:val="20"/>
      <w:lang w:eastAsia="en-GB"/>
    </w:rPr>
  </w:style>
  <w:style w:type="character" w:customStyle="1" w:styleId="Heading9Char">
    <w:name w:val="Heading 9 Char"/>
    <w:basedOn w:val="DefaultParagraphFont"/>
    <w:link w:val="Heading9"/>
    <w:uiPriority w:val="9"/>
    <w:semiHidden/>
    <w:rsid w:val="0088742D"/>
    <w:rPr>
      <w:rFonts w:asciiTheme="majorHAnsi" w:eastAsiaTheme="majorEastAsia" w:hAnsiTheme="majorHAnsi" w:cstheme="majorBidi"/>
      <w:i/>
      <w:iCs/>
      <w:color w:val="404040" w:themeColor="text1" w:themeTint="BF"/>
      <w:sz w:val="20"/>
      <w:szCs w:val="20"/>
      <w:lang w:eastAsia="en-GB"/>
    </w:rPr>
  </w:style>
  <w:style w:type="paragraph" w:styleId="NoSpacing">
    <w:name w:val="No Spacing"/>
    <w:uiPriority w:val="1"/>
    <w:qFormat/>
    <w:rsid w:val="0088742D"/>
    <w:rPr>
      <w:rFonts w:eastAsiaTheme="minorEastAsia"/>
      <w:sz w:val="22"/>
      <w:szCs w:val="22"/>
      <w:lang w:eastAsia="en-GB"/>
    </w:rPr>
  </w:style>
  <w:style w:type="paragraph" w:customStyle="1" w:styleId="Default">
    <w:name w:val="Default"/>
    <w:rsid w:val="0088742D"/>
    <w:pPr>
      <w:autoSpaceDE w:val="0"/>
      <w:autoSpaceDN w:val="0"/>
      <w:adjustRightInd w:val="0"/>
    </w:pPr>
    <w:rPr>
      <w:rFonts w:ascii="Gill Sans Std Light" w:hAnsi="Gill Sans Std Light" w:cs="Gill Sans Std Light"/>
      <w:color w:val="000000"/>
    </w:rPr>
  </w:style>
  <w:style w:type="character" w:customStyle="1" w:styleId="ListParagraphChar">
    <w:name w:val="List Paragraph Char"/>
    <w:link w:val="ListParagraph"/>
    <w:uiPriority w:val="34"/>
    <w:locked/>
    <w:rsid w:val="0088742D"/>
    <w:rPr>
      <w:sz w:val="22"/>
    </w:rPr>
  </w:style>
  <w:style w:type="character" w:customStyle="1" w:styleId="journaltitle">
    <w:name w:val="journaltitle"/>
    <w:basedOn w:val="DefaultParagraphFont"/>
    <w:rsid w:val="0088742D"/>
  </w:style>
  <w:style w:type="character" w:customStyle="1" w:styleId="articlecitationyear">
    <w:name w:val="articlecitation_year"/>
    <w:basedOn w:val="DefaultParagraphFont"/>
    <w:rsid w:val="0088742D"/>
  </w:style>
  <w:style w:type="character" w:customStyle="1" w:styleId="articlecitationvolume">
    <w:name w:val="articlecitation_volume"/>
    <w:basedOn w:val="DefaultParagraphFont"/>
    <w:rsid w:val="0088742D"/>
  </w:style>
  <w:style w:type="paragraph" w:styleId="BalloonText">
    <w:name w:val="Balloon Text"/>
    <w:basedOn w:val="Normal"/>
    <w:link w:val="BalloonTextChar"/>
    <w:uiPriority w:val="99"/>
    <w:semiHidden/>
    <w:unhideWhenUsed/>
    <w:rsid w:val="0088742D"/>
    <w:pPr>
      <w:spacing w:after="0"/>
    </w:pPr>
    <w:rPr>
      <w:rFonts w:ascii="Segoe UI" w:eastAsiaTheme="minorEastAsia" w:hAnsi="Segoe UI" w:cs="Segoe UI"/>
      <w:sz w:val="18"/>
      <w:szCs w:val="18"/>
      <w:lang w:eastAsia="en-GB"/>
    </w:rPr>
  </w:style>
  <w:style w:type="character" w:customStyle="1" w:styleId="BalloonTextChar">
    <w:name w:val="Balloon Text Char"/>
    <w:basedOn w:val="DefaultParagraphFont"/>
    <w:link w:val="BalloonText"/>
    <w:uiPriority w:val="99"/>
    <w:semiHidden/>
    <w:rsid w:val="0088742D"/>
    <w:rPr>
      <w:rFonts w:ascii="Segoe UI" w:eastAsiaTheme="minorEastAsia" w:hAnsi="Segoe UI" w:cs="Segoe UI"/>
      <w:sz w:val="18"/>
      <w:szCs w:val="18"/>
      <w:lang w:eastAsia="en-GB"/>
    </w:rPr>
  </w:style>
  <w:style w:type="paragraph" w:styleId="NormalWeb">
    <w:name w:val="Normal (Web)"/>
    <w:basedOn w:val="Normal"/>
    <w:uiPriority w:val="99"/>
    <w:unhideWhenUsed/>
    <w:rsid w:val="0088742D"/>
    <w:pPr>
      <w:spacing w:before="100" w:beforeAutospacing="1" w:after="100" w:afterAutospacing="1"/>
    </w:pPr>
    <w:rPr>
      <w:rFonts w:ascii="Times New Roman" w:eastAsia="Times New Roman" w:hAnsi="Times New Roman" w:cs="Times New Roman"/>
      <w:sz w:val="24"/>
      <w:lang w:eastAsia="en-GB"/>
    </w:rPr>
  </w:style>
  <w:style w:type="table" w:customStyle="1" w:styleId="GridTable2-Accent51">
    <w:name w:val="Grid Table 2 - Accent 51"/>
    <w:basedOn w:val="TableNormal"/>
    <w:uiPriority w:val="47"/>
    <w:rsid w:val="0088742D"/>
    <w:rPr>
      <w:sz w:val="22"/>
      <w:szCs w:val="22"/>
    </w:rPr>
    <w:tblPr>
      <w:tblStyleRowBandSize w:val="1"/>
      <w:tblStyleColBandSize w:val="1"/>
      <w:tblBorders>
        <w:top w:val="single" w:sz="2" w:space="0" w:color="FFC166" w:themeColor="accent5" w:themeTint="99"/>
        <w:bottom w:val="single" w:sz="2" w:space="0" w:color="FFC166" w:themeColor="accent5" w:themeTint="99"/>
        <w:insideH w:val="single" w:sz="2" w:space="0" w:color="FFC166" w:themeColor="accent5" w:themeTint="99"/>
        <w:insideV w:val="single" w:sz="2" w:space="0" w:color="FFC166" w:themeColor="accent5" w:themeTint="99"/>
      </w:tblBorders>
    </w:tblPr>
    <w:tblStylePr w:type="firstRow">
      <w:rPr>
        <w:b/>
        <w:bCs/>
      </w:rPr>
      <w:tblPr/>
      <w:tcPr>
        <w:tcBorders>
          <w:top w:val="nil"/>
          <w:bottom w:val="single" w:sz="12" w:space="0" w:color="FFC166" w:themeColor="accent5" w:themeTint="99"/>
          <w:insideH w:val="nil"/>
          <w:insideV w:val="nil"/>
        </w:tcBorders>
        <w:shd w:val="clear" w:color="auto" w:fill="FFFFFF" w:themeFill="background1"/>
      </w:tcPr>
    </w:tblStylePr>
    <w:tblStylePr w:type="lastRow">
      <w:rPr>
        <w:b/>
        <w:bCs/>
      </w:rPr>
      <w:tblPr/>
      <w:tcPr>
        <w:tcBorders>
          <w:top w:val="double" w:sz="2" w:space="0" w:color="FFC16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ACC" w:themeFill="accent5" w:themeFillTint="33"/>
      </w:tcPr>
    </w:tblStylePr>
    <w:tblStylePr w:type="band1Horz">
      <w:tblPr/>
      <w:tcPr>
        <w:shd w:val="clear" w:color="auto" w:fill="FFEACC" w:themeFill="accent5" w:themeFillTint="33"/>
      </w:tcPr>
    </w:tblStylePr>
  </w:style>
  <w:style w:type="table" w:customStyle="1" w:styleId="GridTable4-Accent51">
    <w:name w:val="Grid Table 4 - Accent 51"/>
    <w:basedOn w:val="TableNormal"/>
    <w:uiPriority w:val="49"/>
    <w:rsid w:val="0088742D"/>
    <w:rPr>
      <w:sz w:val="22"/>
      <w:szCs w:val="22"/>
    </w:rPr>
    <w:tblPr>
      <w:tblStyleRowBandSize w:val="1"/>
      <w:tblStyleColBandSize w:val="1"/>
      <w:tblBorders>
        <w:top w:val="single" w:sz="4" w:space="0" w:color="FFC166" w:themeColor="accent5" w:themeTint="99"/>
        <w:left w:val="single" w:sz="4" w:space="0" w:color="FFC166" w:themeColor="accent5" w:themeTint="99"/>
        <w:bottom w:val="single" w:sz="4" w:space="0" w:color="FFC166" w:themeColor="accent5" w:themeTint="99"/>
        <w:right w:val="single" w:sz="4" w:space="0" w:color="FFC166" w:themeColor="accent5" w:themeTint="99"/>
        <w:insideH w:val="single" w:sz="4" w:space="0" w:color="FFC166" w:themeColor="accent5" w:themeTint="99"/>
        <w:insideV w:val="single" w:sz="4" w:space="0" w:color="FFC166" w:themeColor="accent5" w:themeTint="99"/>
      </w:tblBorders>
    </w:tblPr>
    <w:tblStylePr w:type="firstRow">
      <w:rPr>
        <w:b/>
        <w:bCs/>
        <w:color w:val="FFFFFF" w:themeColor="background1"/>
      </w:rPr>
      <w:tblPr/>
      <w:tcPr>
        <w:tcBorders>
          <w:top w:val="single" w:sz="4" w:space="0" w:color="FF9900" w:themeColor="accent5"/>
          <w:left w:val="single" w:sz="4" w:space="0" w:color="FF9900" w:themeColor="accent5"/>
          <w:bottom w:val="single" w:sz="4" w:space="0" w:color="FF9900" w:themeColor="accent5"/>
          <w:right w:val="single" w:sz="4" w:space="0" w:color="FF9900" w:themeColor="accent5"/>
          <w:insideH w:val="nil"/>
          <w:insideV w:val="nil"/>
        </w:tcBorders>
        <w:shd w:val="clear" w:color="auto" w:fill="FF9900" w:themeFill="accent5"/>
      </w:tcPr>
    </w:tblStylePr>
    <w:tblStylePr w:type="lastRow">
      <w:rPr>
        <w:b/>
        <w:bCs/>
      </w:rPr>
      <w:tblPr/>
      <w:tcPr>
        <w:tcBorders>
          <w:top w:val="double" w:sz="4" w:space="0" w:color="FF9900" w:themeColor="accent5"/>
        </w:tcBorders>
      </w:tcPr>
    </w:tblStylePr>
    <w:tblStylePr w:type="firstCol">
      <w:rPr>
        <w:b/>
        <w:bCs/>
      </w:rPr>
    </w:tblStylePr>
    <w:tblStylePr w:type="lastCol">
      <w:rPr>
        <w:b/>
        <w:bCs/>
      </w:rPr>
    </w:tblStylePr>
    <w:tblStylePr w:type="band1Vert">
      <w:tblPr/>
      <w:tcPr>
        <w:shd w:val="clear" w:color="auto" w:fill="FFEACC" w:themeFill="accent5" w:themeFillTint="33"/>
      </w:tcPr>
    </w:tblStylePr>
    <w:tblStylePr w:type="band1Horz">
      <w:tblPr/>
      <w:tcPr>
        <w:shd w:val="clear" w:color="auto" w:fill="FFEACC" w:themeFill="accent5" w:themeFillTint="33"/>
      </w:tcPr>
    </w:tblStylePr>
  </w:style>
  <w:style w:type="character" w:styleId="CommentReference">
    <w:name w:val="annotation reference"/>
    <w:basedOn w:val="DefaultParagraphFont"/>
    <w:uiPriority w:val="99"/>
    <w:semiHidden/>
    <w:unhideWhenUsed/>
    <w:rsid w:val="0088742D"/>
    <w:rPr>
      <w:sz w:val="16"/>
      <w:szCs w:val="16"/>
    </w:rPr>
  </w:style>
  <w:style w:type="paragraph" w:styleId="CommentText">
    <w:name w:val="annotation text"/>
    <w:basedOn w:val="Normal"/>
    <w:link w:val="CommentTextChar"/>
    <w:uiPriority w:val="99"/>
    <w:semiHidden/>
    <w:unhideWhenUsed/>
    <w:rsid w:val="0088742D"/>
    <w:pPr>
      <w:spacing w:before="120" w:after="120"/>
    </w:pPr>
    <w:rPr>
      <w:rFonts w:eastAsiaTheme="minorEastAsia"/>
      <w:sz w:val="20"/>
      <w:szCs w:val="20"/>
      <w:lang w:eastAsia="en-GB"/>
    </w:rPr>
  </w:style>
  <w:style w:type="character" w:customStyle="1" w:styleId="CommentTextChar">
    <w:name w:val="Comment Text Char"/>
    <w:basedOn w:val="DefaultParagraphFont"/>
    <w:link w:val="CommentText"/>
    <w:uiPriority w:val="99"/>
    <w:semiHidden/>
    <w:rsid w:val="0088742D"/>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88742D"/>
    <w:rPr>
      <w:b/>
      <w:bCs/>
    </w:rPr>
  </w:style>
  <w:style w:type="character" w:customStyle="1" w:styleId="CommentSubjectChar">
    <w:name w:val="Comment Subject Char"/>
    <w:basedOn w:val="CommentTextChar"/>
    <w:link w:val="CommentSubject"/>
    <w:uiPriority w:val="99"/>
    <w:semiHidden/>
    <w:rsid w:val="0088742D"/>
    <w:rPr>
      <w:rFonts w:eastAsiaTheme="minorEastAsia"/>
      <w:b/>
      <w:bCs/>
      <w:sz w:val="20"/>
      <w:szCs w:val="20"/>
      <w:lang w:eastAsia="en-GB"/>
    </w:rPr>
  </w:style>
  <w:style w:type="character" w:styleId="UnresolvedMention">
    <w:name w:val="Unresolved Mention"/>
    <w:basedOn w:val="DefaultParagraphFont"/>
    <w:uiPriority w:val="99"/>
    <w:unhideWhenUsed/>
    <w:rsid w:val="0088742D"/>
    <w:rPr>
      <w:color w:val="605E5C"/>
      <w:shd w:val="clear" w:color="auto" w:fill="E1DFDD"/>
    </w:rPr>
  </w:style>
  <w:style w:type="paragraph" w:styleId="EndnoteText">
    <w:name w:val="endnote text"/>
    <w:basedOn w:val="Normal"/>
    <w:link w:val="EndnoteTextChar"/>
    <w:uiPriority w:val="99"/>
    <w:semiHidden/>
    <w:unhideWhenUsed/>
    <w:rsid w:val="0088742D"/>
    <w:pPr>
      <w:spacing w:after="0"/>
    </w:pPr>
    <w:rPr>
      <w:rFonts w:eastAsiaTheme="minorEastAsia"/>
      <w:sz w:val="20"/>
      <w:szCs w:val="20"/>
      <w:lang w:eastAsia="en-GB"/>
    </w:rPr>
  </w:style>
  <w:style w:type="character" w:customStyle="1" w:styleId="EndnoteTextChar">
    <w:name w:val="Endnote Text Char"/>
    <w:basedOn w:val="DefaultParagraphFont"/>
    <w:link w:val="EndnoteText"/>
    <w:uiPriority w:val="99"/>
    <w:semiHidden/>
    <w:rsid w:val="0088742D"/>
    <w:rPr>
      <w:rFonts w:eastAsiaTheme="minorEastAsia"/>
      <w:sz w:val="20"/>
      <w:szCs w:val="20"/>
      <w:lang w:eastAsia="en-GB"/>
    </w:rPr>
  </w:style>
  <w:style w:type="character" w:styleId="EndnoteReference">
    <w:name w:val="endnote reference"/>
    <w:basedOn w:val="DefaultParagraphFont"/>
    <w:uiPriority w:val="99"/>
    <w:semiHidden/>
    <w:unhideWhenUsed/>
    <w:rsid w:val="008874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52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image" Target="media/image6.png"/><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5.png"/><Relationship Id="rId25"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wessexahsn.org.uk/projects/171/meet-m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7.emf"/><Relationship Id="rId5" Type="http://schemas.openxmlformats.org/officeDocument/2006/relationships/webSettings" Target="webSettings.xml"/><Relationship Id="rId15" Type="http://schemas.openxmlformats.org/officeDocument/2006/relationships/hyperlink" Target="https://psnc.org.uk/331753-tcam-sop-template/" TargetMode="Externa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www.elht.nhs.uk/services/refer/useful-video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snc.org.uk/331753-tcam-sop-template/" TargetMode="External"/><Relationship Id="rId22" Type="http://schemas.openxmlformats.org/officeDocument/2006/relationships/footer" Target="footer3.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4.xml.rels><?xml version="1.0" encoding="UTF-8" standalone="yes"?>
<Relationships xmlns="http://schemas.openxmlformats.org/package/2006/relationships"><Relationship Id="rId1" Type="http://schemas.openxmlformats.org/officeDocument/2006/relationships/image" Target="media/image2.emf"/></Relationships>
</file>

<file path=word/_rels/footer5.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UCLP Colours">
      <a:dk1>
        <a:srgbClr val="000000"/>
      </a:dk1>
      <a:lt1>
        <a:srgbClr val="FFFFFF"/>
      </a:lt1>
      <a:dk2>
        <a:srgbClr val="16385E"/>
      </a:dk2>
      <a:lt2>
        <a:srgbClr val="E7E6E6"/>
      </a:lt2>
      <a:accent1>
        <a:srgbClr val="41B6E6"/>
      </a:accent1>
      <a:accent2>
        <a:srgbClr val="A3CD38"/>
      </a:accent2>
      <a:accent3>
        <a:srgbClr val="16385E"/>
      </a:accent3>
      <a:accent4>
        <a:srgbClr val="404040"/>
      </a:accent4>
      <a:accent5>
        <a:srgbClr val="FF9900"/>
      </a:accent5>
      <a:accent6>
        <a:srgbClr val="F32F79"/>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0A29D-8979-458E-8617-7579258CB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Implementation_Toolkit UCLP 21042020</Template>
  <TotalTime>1</TotalTime>
  <Pages>23</Pages>
  <Words>5608</Words>
  <Characters>31969</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Sheridan</dc:creator>
  <cp:keywords/>
  <dc:description/>
  <cp:lastModifiedBy>Alex Lloyd</cp:lastModifiedBy>
  <cp:revision>2</cp:revision>
  <dcterms:created xsi:type="dcterms:W3CDTF">2020-04-21T13:12:00Z</dcterms:created>
  <dcterms:modified xsi:type="dcterms:W3CDTF">2020-04-21T13:12:00Z</dcterms:modified>
</cp:coreProperties>
</file>