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3901E" w14:textId="77777777" w:rsidR="005A67EE" w:rsidRPr="005A67EE" w:rsidRDefault="005A67EE" w:rsidP="009F5C56">
      <w:pPr>
        <w:rPr>
          <w:rFonts w:cs="Arial"/>
          <w:b/>
          <w:bCs/>
        </w:rPr>
      </w:pPr>
    </w:p>
    <w:tbl>
      <w:tblPr>
        <w:tblW w:w="0" w:type="auto"/>
        <w:tblInd w:w="36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000000"/>
        <w:tblLook w:val="04A0" w:firstRow="1" w:lastRow="0" w:firstColumn="1" w:lastColumn="0" w:noHBand="0" w:noVBand="1"/>
      </w:tblPr>
      <w:tblGrid>
        <w:gridCol w:w="9218"/>
      </w:tblGrid>
      <w:tr w:rsidR="00111675" w:rsidRPr="00B936FD" w14:paraId="01F0BF0A" w14:textId="77777777" w:rsidTr="00B936FD">
        <w:trPr>
          <w:trHeight w:val="1144"/>
        </w:trPr>
        <w:tc>
          <w:tcPr>
            <w:tcW w:w="9854" w:type="dxa"/>
            <w:shd w:val="clear" w:color="auto" w:fill="000000"/>
          </w:tcPr>
          <w:p w14:paraId="750CC056" w14:textId="77777777" w:rsidR="00111675" w:rsidRPr="00B936FD" w:rsidRDefault="00111675" w:rsidP="00111675">
            <w:pPr>
              <w:pStyle w:val="Default"/>
              <w:rPr>
                <w:rFonts w:eastAsia="MS Mincho"/>
              </w:rPr>
            </w:pPr>
          </w:p>
          <w:p w14:paraId="053BA399" w14:textId="77777777" w:rsidR="007A74A0" w:rsidRPr="00B936FD" w:rsidRDefault="00111675" w:rsidP="00B936FD">
            <w:pPr>
              <w:autoSpaceDE w:val="0"/>
              <w:autoSpaceDN w:val="0"/>
              <w:adjustRightInd w:val="0"/>
              <w:jc w:val="center"/>
              <w:rPr>
                <w:rFonts w:eastAsia="MS Mincho"/>
                <w:b/>
                <w:bCs/>
                <w:color w:val="FFFFFF"/>
                <w:sz w:val="28"/>
                <w:szCs w:val="28"/>
              </w:rPr>
            </w:pPr>
            <w:r w:rsidRPr="00B936FD">
              <w:rPr>
                <w:rFonts w:eastAsia="MS Mincho"/>
                <w:b/>
                <w:bCs/>
                <w:color w:val="FFFFFF"/>
                <w:sz w:val="28"/>
                <w:szCs w:val="28"/>
              </w:rPr>
              <w:t xml:space="preserve">WARNING: This document is only controlled if viewed electronically </w:t>
            </w:r>
          </w:p>
          <w:p w14:paraId="5BFFDDE7" w14:textId="77777777" w:rsidR="00111675" w:rsidRPr="00B936FD" w:rsidRDefault="00111675" w:rsidP="00B936FD">
            <w:pPr>
              <w:autoSpaceDE w:val="0"/>
              <w:autoSpaceDN w:val="0"/>
              <w:adjustRightInd w:val="0"/>
              <w:rPr>
                <w:rFonts w:eastAsia="MS Mincho" w:cs="Arial"/>
                <w:b/>
                <w:bCs/>
                <w:sz w:val="32"/>
                <w:szCs w:val="32"/>
              </w:rPr>
            </w:pPr>
          </w:p>
        </w:tc>
      </w:tr>
    </w:tbl>
    <w:p w14:paraId="0BDD8720" w14:textId="77777777" w:rsidR="005A67EE" w:rsidRPr="005A67EE" w:rsidRDefault="005A67EE" w:rsidP="005A67EE">
      <w:pPr>
        <w:ind w:left="360"/>
        <w:rPr>
          <w:rFonts w:cs="Arial"/>
          <w:b/>
          <w:bCs/>
        </w:rPr>
      </w:pPr>
    </w:p>
    <w:p w14:paraId="4C959BB6" w14:textId="77777777" w:rsidR="009F5C56" w:rsidRDefault="009F5C56" w:rsidP="005530D1">
      <w:pPr>
        <w:numPr>
          <w:ilvl w:val="0"/>
          <w:numId w:val="1"/>
        </w:numPr>
        <w:ind w:hanging="720"/>
        <w:rPr>
          <w:rFonts w:cs="Arial"/>
          <w:b/>
          <w:bCs/>
        </w:rPr>
      </w:pPr>
      <w:r>
        <w:rPr>
          <w:rFonts w:cs="Arial"/>
          <w:b/>
          <w:bCs/>
        </w:rPr>
        <w:t xml:space="preserve">Change History </w:t>
      </w:r>
    </w:p>
    <w:p w14:paraId="228371B9" w14:textId="77777777" w:rsidR="005A67EE" w:rsidRDefault="005A67EE" w:rsidP="005A67EE">
      <w:pPr>
        <w:rPr>
          <w:rFonts w:cs="Arial"/>
          <w:b/>
          <w:bCs/>
        </w:rPr>
      </w:pPr>
    </w:p>
    <w:tbl>
      <w:tblPr>
        <w:tblW w:w="9424" w:type="dxa"/>
        <w:tblInd w:w="5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24"/>
      </w:tblGrid>
      <w:tr w:rsidR="005A67EE" w:rsidRPr="00B936FD" w14:paraId="6C1FF900" w14:textId="77777777" w:rsidTr="004F42BF">
        <w:trPr>
          <w:trHeight w:val="1783"/>
        </w:trPr>
        <w:tc>
          <w:tcPr>
            <w:tcW w:w="9424" w:type="dxa"/>
            <w:shd w:val="clear" w:color="auto" w:fill="auto"/>
          </w:tcPr>
          <w:p w14:paraId="27AE7DE1" w14:textId="77777777" w:rsidR="005A67EE" w:rsidRPr="00B936FD" w:rsidRDefault="005A67EE" w:rsidP="006849CA">
            <w:pPr>
              <w:autoSpaceDE w:val="0"/>
              <w:autoSpaceDN w:val="0"/>
              <w:adjustRightInd w:val="0"/>
              <w:ind w:left="360"/>
              <w:rPr>
                <w:rFonts w:eastAsia="MS Mincho" w:cs="Arial"/>
                <w:b/>
                <w:bCs/>
              </w:rPr>
            </w:pPr>
          </w:p>
        </w:tc>
      </w:tr>
    </w:tbl>
    <w:p w14:paraId="21A07428" w14:textId="77777777" w:rsidR="0089286E" w:rsidRDefault="0089286E" w:rsidP="005A67EE">
      <w:pPr>
        <w:rPr>
          <w:rFonts w:cs="Arial"/>
          <w:bCs/>
          <w:color w:val="FF0000"/>
          <w:sz w:val="20"/>
          <w:szCs w:val="20"/>
        </w:rPr>
      </w:pPr>
    </w:p>
    <w:p w14:paraId="2394DF73" w14:textId="77777777" w:rsidR="004F42BF" w:rsidRPr="0089286E" w:rsidRDefault="004F42BF" w:rsidP="005A67EE">
      <w:pPr>
        <w:rPr>
          <w:rFonts w:cs="Arial"/>
          <w:bCs/>
          <w:color w:val="FF0000"/>
          <w:sz w:val="20"/>
          <w:szCs w:val="20"/>
        </w:rPr>
      </w:pPr>
    </w:p>
    <w:p w14:paraId="214D0C1B" w14:textId="77777777" w:rsidR="009F5C56" w:rsidRDefault="009F5C56" w:rsidP="005530D1">
      <w:pPr>
        <w:numPr>
          <w:ilvl w:val="0"/>
          <w:numId w:val="1"/>
        </w:numPr>
        <w:ind w:hanging="720"/>
        <w:rPr>
          <w:rFonts w:cs="Arial"/>
          <w:b/>
          <w:bCs/>
        </w:rPr>
      </w:pPr>
      <w:r>
        <w:rPr>
          <w:rFonts w:cs="Arial"/>
          <w:b/>
          <w:bCs/>
        </w:rPr>
        <w:t>Purpose</w:t>
      </w:r>
    </w:p>
    <w:p w14:paraId="23D62CAB" w14:textId="77777777" w:rsidR="00962ACC" w:rsidRDefault="00962ACC" w:rsidP="00962ACC">
      <w:pPr>
        <w:ind w:left="360"/>
        <w:rPr>
          <w:rFonts w:cs="Arial"/>
          <w:b/>
          <w:bCs/>
        </w:rPr>
      </w:pPr>
    </w:p>
    <w:p w14:paraId="6A7C732F" w14:textId="77777777" w:rsidR="003D2F76" w:rsidRDefault="003D2F76" w:rsidP="003D2F76">
      <w:pPr>
        <w:rPr>
          <w:rFonts w:ascii="Calibri" w:hAnsi="Calibri" w:cs="Calibri"/>
          <w:b/>
          <w:bCs/>
          <w:lang w:eastAsia="en-US"/>
        </w:rPr>
      </w:pPr>
      <w:r w:rsidRPr="002B0466">
        <w:rPr>
          <w:rFonts w:ascii="Calibri" w:hAnsi="Calibri" w:cs="Calibri"/>
          <w:bCs/>
          <w:lang w:eastAsia="en-US"/>
        </w:rPr>
        <w:t xml:space="preserve">To outline the process </w:t>
      </w:r>
      <w:r w:rsidR="006849CA">
        <w:rPr>
          <w:rFonts w:ascii="Calibri" w:hAnsi="Calibri" w:cs="Calibri"/>
          <w:bCs/>
          <w:lang w:eastAsia="en-US"/>
        </w:rPr>
        <w:t>for</w:t>
      </w:r>
      <w:r w:rsidRPr="002B0466">
        <w:rPr>
          <w:rFonts w:ascii="Calibri" w:hAnsi="Calibri" w:cs="Calibri"/>
          <w:bCs/>
          <w:lang w:eastAsia="en-US"/>
        </w:rPr>
        <w:t xml:space="preserve"> </w:t>
      </w:r>
      <w:r w:rsidR="006849CA">
        <w:rPr>
          <w:rFonts w:ascii="Calibri" w:hAnsi="Calibri" w:cs="Calibri"/>
          <w:bCs/>
          <w:lang w:eastAsia="en-US"/>
        </w:rPr>
        <w:t>referring a patient to their community pharmacy, following discharge from hospital.</w:t>
      </w:r>
      <w:r w:rsidRPr="002B0466">
        <w:rPr>
          <w:rFonts w:ascii="Calibri" w:hAnsi="Calibri" w:cs="Calibri"/>
          <w:b/>
          <w:bCs/>
          <w:lang w:eastAsia="en-US"/>
        </w:rPr>
        <w:t xml:space="preserve"> </w:t>
      </w:r>
    </w:p>
    <w:p w14:paraId="435BD4D3" w14:textId="77777777" w:rsidR="008869AE" w:rsidRDefault="008869AE" w:rsidP="003D2F76">
      <w:pPr>
        <w:rPr>
          <w:rFonts w:ascii="Calibri" w:hAnsi="Calibri" w:cs="Calibri"/>
          <w:b/>
          <w:bCs/>
          <w:lang w:eastAsia="en-US"/>
        </w:rPr>
      </w:pPr>
    </w:p>
    <w:p w14:paraId="35007B12" w14:textId="77777777" w:rsidR="008869AE" w:rsidRPr="002B0466" w:rsidRDefault="008869AE" w:rsidP="003D2F76">
      <w:pPr>
        <w:rPr>
          <w:rFonts w:ascii="Calibri" w:hAnsi="Calibri" w:cs="Calibri"/>
          <w:b/>
          <w:bCs/>
          <w:lang w:eastAsia="en-US"/>
        </w:rPr>
      </w:pPr>
      <w:r>
        <w:rPr>
          <w:rFonts w:ascii="Calibri" w:hAnsi="Calibri" w:cs="Calibri"/>
          <w:b/>
          <w:bCs/>
          <w:lang w:eastAsia="en-US"/>
        </w:rPr>
        <w:t>To be used alongside TCAM referral guide (appendix 1 – page 4</w:t>
      </w:r>
      <w:r w:rsidR="00337653">
        <w:rPr>
          <w:rFonts w:ascii="Calibri" w:hAnsi="Calibri" w:cs="Calibri"/>
          <w:b/>
          <w:bCs/>
          <w:lang w:eastAsia="en-US"/>
        </w:rPr>
        <w:t xml:space="preserve"> &amp; 5</w:t>
      </w:r>
      <w:r>
        <w:rPr>
          <w:rFonts w:ascii="Calibri" w:hAnsi="Calibri" w:cs="Calibri"/>
          <w:b/>
          <w:bCs/>
          <w:lang w:eastAsia="en-US"/>
        </w:rPr>
        <w:t xml:space="preserve">) and the patient information leaflet (appendix 2 – page </w:t>
      </w:r>
      <w:r w:rsidR="00337653">
        <w:rPr>
          <w:rFonts w:ascii="Calibri" w:hAnsi="Calibri" w:cs="Calibri"/>
          <w:b/>
          <w:bCs/>
          <w:lang w:eastAsia="en-US"/>
        </w:rPr>
        <w:t>6</w:t>
      </w:r>
      <w:r>
        <w:rPr>
          <w:rFonts w:ascii="Calibri" w:hAnsi="Calibri" w:cs="Calibri"/>
          <w:b/>
          <w:bCs/>
          <w:lang w:eastAsia="en-US"/>
        </w:rPr>
        <w:t>)</w:t>
      </w:r>
    </w:p>
    <w:p w14:paraId="6E7E21E6" w14:textId="77777777" w:rsidR="00CB43A7" w:rsidRDefault="00CB43A7" w:rsidP="00CB43A7">
      <w:pPr>
        <w:rPr>
          <w:rFonts w:cs="Arial"/>
          <w:b/>
          <w:bCs/>
          <w:lang w:eastAsia="en-US"/>
        </w:rPr>
      </w:pPr>
    </w:p>
    <w:p w14:paraId="77E775E1" w14:textId="77777777" w:rsidR="00326073" w:rsidRDefault="00CB43A7" w:rsidP="005530D1">
      <w:pPr>
        <w:numPr>
          <w:ilvl w:val="0"/>
          <w:numId w:val="1"/>
        </w:numPr>
        <w:ind w:hanging="720"/>
        <w:rPr>
          <w:rFonts w:cs="Arial"/>
          <w:b/>
          <w:bCs/>
        </w:rPr>
      </w:pPr>
      <w:r>
        <w:rPr>
          <w:rFonts w:cs="Arial"/>
          <w:b/>
          <w:bCs/>
        </w:rPr>
        <w:t>Scope</w:t>
      </w:r>
    </w:p>
    <w:p w14:paraId="05A2265D" w14:textId="77777777" w:rsidR="00962ACC" w:rsidRDefault="00962ACC" w:rsidP="00962ACC">
      <w:pPr>
        <w:pStyle w:val="Default"/>
        <w:ind w:left="360"/>
        <w:rPr>
          <w:sz w:val="20"/>
          <w:szCs w:val="20"/>
        </w:rPr>
      </w:pPr>
    </w:p>
    <w:p w14:paraId="38A6675F" w14:textId="77777777" w:rsidR="003D2F76" w:rsidRDefault="003D2F76" w:rsidP="003D2F76">
      <w:pPr>
        <w:pStyle w:val="Default"/>
        <w:rPr>
          <w:rFonts w:ascii="Calibri" w:hAnsi="Calibri" w:cs="Calibri"/>
        </w:rPr>
      </w:pPr>
      <w:r w:rsidRPr="002B0466">
        <w:rPr>
          <w:rFonts w:ascii="Calibri" w:hAnsi="Calibri" w:cs="Calibri"/>
        </w:rPr>
        <w:t>This proce</w:t>
      </w:r>
      <w:r w:rsidR="006849CA">
        <w:rPr>
          <w:rFonts w:ascii="Calibri" w:hAnsi="Calibri" w:cs="Calibri"/>
        </w:rPr>
        <w:t>dure applies to all Pharmacists and</w:t>
      </w:r>
      <w:r w:rsidRPr="002B0466">
        <w:rPr>
          <w:rFonts w:ascii="Calibri" w:hAnsi="Calibri" w:cs="Calibri"/>
        </w:rPr>
        <w:t xml:space="preserve"> Medicines Management Pharmacy Technicians (MMPTs), who </w:t>
      </w:r>
      <w:r w:rsidR="006849CA">
        <w:rPr>
          <w:rFonts w:ascii="Calibri" w:hAnsi="Calibri" w:cs="Calibri"/>
        </w:rPr>
        <w:t>will obtain consent for the service or who will refer patients using the service</w:t>
      </w:r>
      <w:r w:rsidRPr="002B0466">
        <w:rPr>
          <w:rFonts w:ascii="Calibri" w:hAnsi="Calibri" w:cs="Calibri"/>
        </w:rPr>
        <w:t xml:space="preserve">.  </w:t>
      </w:r>
    </w:p>
    <w:p w14:paraId="62D87A15" w14:textId="77777777" w:rsidR="006849CA" w:rsidRDefault="006849CA" w:rsidP="003D2F76">
      <w:pPr>
        <w:pStyle w:val="Default"/>
        <w:rPr>
          <w:rFonts w:ascii="Calibri" w:hAnsi="Calibri" w:cs="Calibri"/>
        </w:rPr>
      </w:pPr>
    </w:p>
    <w:p w14:paraId="25D057EA" w14:textId="77777777" w:rsidR="006849CA" w:rsidRDefault="006849CA" w:rsidP="003D2F76">
      <w:pPr>
        <w:pStyle w:val="Default"/>
        <w:rPr>
          <w:rFonts w:ascii="Calibri" w:hAnsi="Calibri" w:cs="Calibri"/>
        </w:rPr>
      </w:pPr>
      <w:r>
        <w:rPr>
          <w:rFonts w:ascii="Calibri" w:hAnsi="Calibri" w:cs="Calibri"/>
        </w:rPr>
        <w:t>Patients eligible for the service include those who are able to provide informed consent (or where their parent/guardian is able to provide informed consent if under 16 years) and where they are taking medication and fit into at least one of the following referral criteria:</w:t>
      </w:r>
    </w:p>
    <w:p w14:paraId="44C96F25" w14:textId="77777777" w:rsidR="006849CA" w:rsidRDefault="006849CA" w:rsidP="005530D1">
      <w:pPr>
        <w:pStyle w:val="Default"/>
        <w:numPr>
          <w:ilvl w:val="0"/>
          <w:numId w:val="2"/>
        </w:numPr>
        <w:rPr>
          <w:rFonts w:ascii="Calibri" w:hAnsi="Calibri" w:cs="Calibri"/>
        </w:rPr>
      </w:pPr>
      <w:r>
        <w:rPr>
          <w:rFonts w:ascii="Calibri" w:hAnsi="Calibri" w:cs="Calibri"/>
        </w:rPr>
        <w:t>On pharmacist’s professional discretion</w:t>
      </w:r>
    </w:p>
    <w:p w14:paraId="7EB9AEB0" w14:textId="77777777" w:rsidR="006849CA" w:rsidRDefault="00DC1BE4" w:rsidP="005530D1">
      <w:pPr>
        <w:pStyle w:val="Default"/>
        <w:numPr>
          <w:ilvl w:val="0"/>
          <w:numId w:val="2"/>
        </w:numPr>
        <w:rPr>
          <w:rFonts w:ascii="Calibri" w:hAnsi="Calibri" w:cs="Calibri"/>
        </w:rPr>
      </w:pPr>
      <w:r>
        <w:rPr>
          <w:rFonts w:ascii="Calibri" w:hAnsi="Calibri" w:cs="Calibri"/>
        </w:rPr>
        <w:t>Patient discharged with changes to their regular medications</w:t>
      </w:r>
    </w:p>
    <w:p w14:paraId="346F8462" w14:textId="77777777" w:rsidR="00DC1BE4" w:rsidRDefault="00DC1BE4" w:rsidP="005530D1">
      <w:pPr>
        <w:pStyle w:val="Default"/>
        <w:numPr>
          <w:ilvl w:val="0"/>
          <w:numId w:val="2"/>
        </w:numPr>
        <w:rPr>
          <w:rFonts w:ascii="Calibri" w:hAnsi="Calibri" w:cs="Calibri"/>
        </w:rPr>
      </w:pPr>
      <w:r>
        <w:rPr>
          <w:rFonts w:ascii="Calibri" w:hAnsi="Calibri" w:cs="Calibri"/>
        </w:rPr>
        <w:t xml:space="preserve">Patient started on high-risk medication (according to MUR classifications – see </w:t>
      </w:r>
      <w:r w:rsidR="006633C6">
        <w:rPr>
          <w:rFonts w:ascii="Calibri" w:hAnsi="Calibri" w:cs="Calibri"/>
        </w:rPr>
        <w:t>appendix 1)</w:t>
      </w:r>
    </w:p>
    <w:p w14:paraId="3536738D" w14:textId="77777777" w:rsidR="00DC1BE4" w:rsidRDefault="00DC1BE4" w:rsidP="005530D1">
      <w:pPr>
        <w:pStyle w:val="Default"/>
        <w:numPr>
          <w:ilvl w:val="0"/>
          <w:numId w:val="2"/>
        </w:numPr>
        <w:rPr>
          <w:rFonts w:ascii="Calibri" w:hAnsi="Calibri" w:cs="Calibri"/>
        </w:rPr>
      </w:pPr>
      <w:r>
        <w:rPr>
          <w:rFonts w:ascii="Calibri" w:hAnsi="Calibri" w:cs="Calibri"/>
        </w:rPr>
        <w:t>Patient likely to experience adherence issues</w:t>
      </w:r>
    </w:p>
    <w:p w14:paraId="04FBBACC" w14:textId="77777777" w:rsidR="00DC1BE4" w:rsidRDefault="00DC1BE4" w:rsidP="00DC1BE4">
      <w:pPr>
        <w:pStyle w:val="Default"/>
        <w:rPr>
          <w:rFonts w:ascii="Calibri" w:hAnsi="Calibri" w:cs="Calibri"/>
        </w:rPr>
      </w:pPr>
    </w:p>
    <w:p w14:paraId="4839DE07" w14:textId="77777777" w:rsidR="00DC1BE4" w:rsidRDefault="00DC1BE4" w:rsidP="00DC1BE4">
      <w:pPr>
        <w:pStyle w:val="Default"/>
        <w:rPr>
          <w:rFonts w:ascii="Calibri" w:hAnsi="Calibri" w:cs="Calibri"/>
        </w:rPr>
      </w:pPr>
      <w:r>
        <w:rPr>
          <w:rFonts w:ascii="Calibri" w:hAnsi="Calibri" w:cs="Calibri"/>
        </w:rPr>
        <w:t>The following patient groups should be excluded from the service:</w:t>
      </w:r>
    </w:p>
    <w:p w14:paraId="6F079C0A" w14:textId="77777777" w:rsidR="00DC1BE4" w:rsidRDefault="00DC1BE4" w:rsidP="005530D1">
      <w:pPr>
        <w:pStyle w:val="Default"/>
        <w:numPr>
          <w:ilvl w:val="0"/>
          <w:numId w:val="3"/>
        </w:numPr>
        <w:rPr>
          <w:rFonts w:ascii="Calibri" w:hAnsi="Calibri" w:cs="Calibri"/>
        </w:rPr>
      </w:pPr>
      <w:r>
        <w:rPr>
          <w:rFonts w:ascii="Calibri" w:hAnsi="Calibri" w:cs="Calibri"/>
        </w:rPr>
        <w:t>Patients unable to provide informed consent</w:t>
      </w:r>
    </w:p>
    <w:p w14:paraId="11FA223F" w14:textId="77777777" w:rsidR="00DC1BE4" w:rsidRDefault="00DC1BE4" w:rsidP="005530D1">
      <w:pPr>
        <w:pStyle w:val="Default"/>
        <w:numPr>
          <w:ilvl w:val="0"/>
          <w:numId w:val="3"/>
        </w:numPr>
        <w:rPr>
          <w:rFonts w:ascii="Calibri" w:hAnsi="Calibri" w:cs="Calibri"/>
        </w:rPr>
      </w:pPr>
      <w:r>
        <w:rPr>
          <w:rFonts w:ascii="Calibri" w:hAnsi="Calibri" w:cs="Calibri"/>
        </w:rPr>
        <w:t>Patients residing outside of the Bedfordshire locality</w:t>
      </w:r>
    </w:p>
    <w:p w14:paraId="4400930B" w14:textId="77777777" w:rsidR="006633C6" w:rsidRDefault="006633C6" w:rsidP="005530D1">
      <w:pPr>
        <w:pStyle w:val="Default"/>
        <w:numPr>
          <w:ilvl w:val="0"/>
          <w:numId w:val="3"/>
        </w:numPr>
        <w:rPr>
          <w:rFonts w:ascii="Calibri" w:hAnsi="Calibri" w:cs="Calibri"/>
        </w:rPr>
      </w:pPr>
      <w:r>
        <w:rPr>
          <w:rFonts w:ascii="Calibri" w:hAnsi="Calibri" w:cs="Calibri"/>
        </w:rPr>
        <w:t>Patients who have not received a medication history or reconciliation during their inpatient stay</w:t>
      </w:r>
    </w:p>
    <w:p w14:paraId="6515E3C3" w14:textId="77777777" w:rsidR="00DC1BE4" w:rsidRDefault="00DC1BE4" w:rsidP="005530D1">
      <w:pPr>
        <w:pStyle w:val="Default"/>
        <w:numPr>
          <w:ilvl w:val="0"/>
          <w:numId w:val="3"/>
        </w:numPr>
        <w:rPr>
          <w:rFonts w:ascii="Calibri" w:hAnsi="Calibri" w:cs="Calibri"/>
        </w:rPr>
      </w:pPr>
      <w:r>
        <w:rPr>
          <w:rFonts w:ascii="Calibri" w:hAnsi="Calibri" w:cs="Calibri"/>
        </w:rPr>
        <w:t>Patients admitted for under 72 hours (unless all of their regular medications are included on the TTA)</w:t>
      </w:r>
    </w:p>
    <w:p w14:paraId="13CF96B8" w14:textId="77777777" w:rsidR="00C80A00" w:rsidRPr="00DC1BE4" w:rsidRDefault="00C80A00" w:rsidP="005530D1">
      <w:pPr>
        <w:pStyle w:val="Default"/>
        <w:numPr>
          <w:ilvl w:val="0"/>
          <w:numId w:val="3"/>
        </w:numPr>
        <w:rPr>
          <w:rFonts w:ascii="Calibri" w:hAnsi="Calibri" w:cs="Calibri"/>
        </w:rPr>
      </w:pPr>
      <w:r>
        <w:rPr>
          <w:rFonts w:ascii="Calibri" w:hAnsi="Calibri" w:cs="Calibri"/>
        </w:rPr>
        <w:t>Patients residing in a care home/nursing home</w:t>
      </w:r>
    </w:p>
    <w:p w14:paraId="1DD5D362" w14:textId="77777777" w:rsidR="003D2F76" w:rsidRDefault="003D2F76" w:rsidP="00CB43A7">
      <w:pPr>
        <w:rPr>
          <w:rFonts w:cs="Arial"/>
          <w:b/>
          <w:bCs/>
        </w:rPr>
      </w:pPr>
    </w:p>
    <w:p w14:paraId="2F1B1578" w14:textId="77777777" w:rsidR="004F42BF" w:rsidRDefault="004F42BF" w:rsidP="00CB43A7">
      <w:pPr>
        <w:rPr>
          <w:rFonts w:cs="Arial"/>
          <w:b/>
          <w:bCs/>
        </w:rPr>
      </w:pPr>
    </w:p>
    <w:p w14:paraId="3D135F48" w14:textId="77777777" w:rsidR="004F42BF" w:rsidRDefault="004F42BF" w:rsidP="00CB43A7">
      <w:pPr>
        <w:rPr>
          <w:rFonts w:cs="Arial"/>
          <w:b/>
          <w:bCs/>
        </w:rPr>
      </w:pPr>
    </w:p>
    <w:p w14:paraId="2B3B19F6" w14:textId="77777777" w:rsidR="004F42BF" w:rsidRDefault="004F42BF" w:rsidP="00CB43A7">
      <w:pPr>
        <w:rPr>
          <w:rFonts w:cs="Arial"/>
          <w:b/>
          <w:bCs/>
        </w:rPr>
      </w:pPr>
    </w:p>
    <w:p w14:paraId="155FACD0" w14:textId="77777777" w:rsidR="007E7383" w:rsidRDefault="00CB43A7" w:rsidP="005530D1">
      <w:pPr>
        <w:numPr>
          <w:ilvl w:val="0"/>
          <w:numId w:val="1"/>
        </w:numPr>
        <w:ind w:hanging="720"/>
        <w:rPr>
          <w:rFonts w:cs="Arial"/>
          <w:b/>
          <w:bCs/>
        </w:rPr>
      </w:pPr>
      <w:r>
        <w:rPr>
          <w:rFonts w:cs="Arial"/>
          <w:b/>
          <w:bCs/>
        </w:rPr>
        <w:lastRenderedPageBreak/>
        <w:t>Procedure/Process</w:t>
      </w:r>
    </w:p>
    <w:p w14:paraId="1275751E" w14:textId="77777777" w:rsidR="004C0473" w:rsidRDefault="004C0473" w:rsidP="004C0473">
      <w:pPr>
        <w:ind w:left="-360"/>
        <w:rPr>
          <w:rFonts w:cs="Arial"/>
          <w:b/>
          <w:bCs/>
        </w:rPr>
      </w:pPr>
    </w:p>
    <w:p w14:paraId="3F1AB34D" w14:textId="77777777" w:rsidR="00DC1BE4" w:rsidRPr="0009731A" w:rsidRDefault="00DC1BE4" w:rsidP="00DC1BE4">
      <w:pPr>
        <w:pStyle w:val="Default"/>
        <w:rPr>
          <w:rFonts w:ascii="Calibri" w:hAnsi="Calibri" w:cs="Calibri"/>
          <w:b/>
        </w:rPr>
      </w:pPr>
      <w:r w:rsidRPr="0009731A">
        <w:rPr>
          <w:rFonts w:ascii="Calibri" w:hAnsi="Calibri" w:cs="Calibri"/>
          <w:b/>
        </w:rPr>
        <w:t>On admission:</w:t>
      </w:r>
    </w:p>
    <w:p w14:paraId="7E5D5BAC" w14:textId="77777777" w:rsidR="00DC1BE4" w:rsidRDefault="00DC1BE4" w:rsidP="005530D1">
      <w:pPr>
        <w:pStyle w:val="Default"/>
        <w:numPr>
          <w:ilvl w:val="0"/>
          <w:numId w:val="4"/>
        </w:numPr>
        <w:rPr>
          <w:rFonts w:ascii="Calibri" w:hAnsi="Calibri" w:cs="Calibri"/>
        </w:rPr>
      </w:pPr>
      <w:r>
        <w:rPr>
          <w:rFonts w:ascii="Calibri" w:hAnsi="Calibri" w:cs="Calibri"/>
        </w:rPr>
        <w:t>Record the patient’s pharmacy when undertaking a medication history. Record this information in the medication history note within the ePMA system</w:t>
      </w:r>
    </w:p>
    <w:p w14:paraId="5E92D95B" w14:textId="77777777" w:rsidR="00DC1BE4" w:rsidRDefault="00DC1BE4" w:rsidP="00DC1BE4">
      <w:pPr>
        <w:pStyle w:val="Default"/>
        <w:rPr>
          <w:rFonts w:ascii="Calibri" w:hAnsi="Calibri" w:cs="Calibri"/>
        </w:rPr>
      </w:pPr>
    </w:p>
    <w:p w14:paraId="42A96C46" w14:textId="77777777" w:rsidR="00DC1BE4" w:rsidRPr="0009731A" w:rsidRDefault="00DC1BE4" w:rsidP="00DC1BE4">
      <w:pPr>
        <w:pStyle w:val="Default"/>
        <w:rPr>
          <w:rFonts w:ascii="Calibri" w:hAnsi="Calibri" w:cs="Calibri"/>
          <w:b/>
        </w:rPr>
      </w:pPr>
      <w:r w:rsidRPr="0009731A">
        <w:rPr>
          <w:rFonts w:ascii="Calibri" w:hAnsi="Calibri" w:cs="Calibri"/>
          <w:b/>
        </w:rPr>
        <w:t>Prior to discharge:</w:t>
      </w:r>
    </w:p>
    <w:p w14:paraId="78AB88B3" w14:textId="77777777" w:rsidR="006633C6" w:rsidRDefault="006633C6" w:rsidP="005530D1">
      <w:pPr>
        <w:pStyle w:val="Default"/>
        <w:numPr>
          <w:ilvl w:val="0"/>
          <w:numId w:val="5"/>
        </w:numPr>
        <w:rPr>
          <w:rFonts w:ascii="Calibri" w:hAnsi="Calibri" w:cs="Calibri"/>
        </w:rPr>
      </w:pPr>
      <w:r>
        <w:rPr>
          <w:rFonts w:ascii="Calibri" w:hAnsi="Calibri" w:cs="Calibri"/>
        </w:rPr>
        <w:t>Prior to consideration, ensure the TTA medications have been prescribed and verified and are unlikely to change</w:t>
      </w:r>
    </w:p>
    <w:p w14:paraId="67A841F9" w14:textId="77777777" w:rsidR="00DC1BE4" w:rsidRDefault="006633C6" w:rsidP="005530D1">
      <w:pPr>
        <w:pStyle w:val="Default"/>
        <w:numPr>
          <w:ilvl w:val="0"/>
          <w:numId w:val="5"/>
        </w:numPr>
        <w:rPr>
          <w:rFonts w:ascii="Calibri" w:hAnsi="Calibri" w:cs="Calibri"/>
        </w:rPr>
      </w:pPr>
      <w:r>
        <w:rPr>
          <w:rFonts w:ascii="Calibri" w:hAnsi="Calibri" w:cs="Calibri"/>
        </w:rPr>
        <w:t>Confirm that the patient would benefit from a community referral by ensuring they meet one or more referral criteria</w:t>
      </w:r>
    </w:p>
    <w:p w14:paraId="3CF7CC8B" w14:textId="77777777" w:rsidR="006633C6" w:rsidRDefault="006633C6" w:rsidP="005530D1">
      <w:pPr>
        <w:pStyle w:val="Default"/>
        <w:numPr>
          <w:ilvl w:val="0"/>
          <w:numId w:val="5"/>
        </w:numPr>
        <w:rPr>
          <w:rFonts w:ascii="Calibri" w:hAnsi="Calibri" w:cs="Calibri"/>
        </w:rPr>
      </w:pPr>
      <w:r>
        <w:rPr>
          <w:rFonts w:ascii="Calibri" w:hAnsi="Calibri" w:cs="Calibri"/>
        </w:rPr>
        <w:t>Inform the patient of the service and provide them with a copy of the Patient Information Leaflet (see appendix 2)</w:t>
      </w:r>
    </w:p>
    <w:p w14:paraId="096EB73B" w14:textId="77777777" w:rsidR="006633C6" w:rsidRDefault="006633C6" w:rsidP="005530D1">
      <w:pPr>
        <w:pStyle w:val="Default"/>
        <w:numPr>
          <w:ilvl w:val="0"/>
          <w:numId w:val="5"/>
        </w:numPr>
        <w:rPr>
          <w:rFonts w:ascii="Calibri" w:hAnsi="Calibri" w:cs="Calibri"/>
        </w:rPr>
      </w:pPr>
      <w:r>
        <w:rPr>
          <w:rFonts w:ascii="Calibri" w:hAnsi="Calibri" w:cs="Calibri"/>
        </w:rPr>
        <w:t>Once the patient is fully informed of the service, obtain verbal consent for the referral</w:t>
      </w:r>
    </w:p>
    <w:p w14:paraId="777817E4" w14:textId="77777777" w:rsidR="006633C6" w:rsidRDefault="006633C6" w:rsidP="006633C6">
      <w:pPr>
        <w:pStyle w:val="Default"/>
        <w:rPr>
          <w:rFonts w:ascii="Calibri" w:hAnsi="Calibri" w:cs="Calibri"/>
        </w:rPr>
      </w:pPr>
    </w:p>
    <w:p w14:paraId="55396E47" w14:textId="77777777" w:rsidR="006633C6" w:rsidRPr="0009731A" w:rsidRDefault="006633C6" w:rsidP="006633C6">
      <w:pPr>
        <w:pStyle w:val="Default"/>
        <w:rPr>
          <w:rFonts w:ascii="Calibri" w:hAnsi="Calibri" w:cs="Calibri"/>
          <w:b/>
        </w:rPr>
      </w:pPr>
      <w:r w:rsidRPr="0009731A">
        <w:rPr>
          <w:rFonts w:ascii="Calibri" w:hAnsi="Calibri" w:cs="Calibri"/>
          <w:b/>
        </w:rPr>
        <w:t>For referral:</w:t>
      </w:r>
    </w:p>
    <w:p w14:paraId="17487BBA" w14:textId="77777777" w:rsidR="006633C6" w:rsidRDefault="00AC57D1" w:rsidP="005530D1">
      <w:pPr>
        <w:pStyle w:val="Default"/>
        <w:numPr>
          <w:ilvl w:val="0"/>
          <w:numId w:val="6"/>
        </w:numPr>
        <w:rPr>
          <w:rFonts w:ascii="Calibri" w:hAnsi="Calibri" w:cs="Calibri"/>
        </w:rPr>
      </w:pPr>
      <w:r>
        <w:rPr>
          <w:rFonts w:ascii="Calibri" w:hAnsi="Calibri" w:cs="Calibri"/>
        </w:rPr>
        <w:t>Save the ePMA TTA file to your desktop</w:t>
      </w:r>
    </w:p>
    <w:p w14:paraId="52BF518E" w14:textId="77777777" w:rsidR="00AC57D1" w:rsidRDefault="00157653" w:rsidP="005530D1">
      <w:pPr>
        <w:pStyle w:val="Default"/>
        <w:numPr>
          <w:ilvl w:val="1"/>
          <w:numId w:val="6"/>
        </w:numPr>
        <w:rPr>
          <w:rFonts w:ascii="Calibri" w:hAnsi="Calibri" w:cs="Calibri"/>
        </w:rPr>
      </w:pPr>
      <w:r>
        <w:rPr>
          <w:rFonts w:ascii="Calibri" w:hAnsi="Calibri" w:cs="Calibri"/>
        </w:rPr>
        <w:t>Enter the discharge section of the patient’s records within ePMA</w:t>
      </w:r>
    </w:p>
    <w:p w14:paraId="10A89D44" w14:textId="77777777" w:rsidR="00157653" w:rsidRDefault="00157653" w:rsidP="005530D1">
      <w:pPr>
        <w:pStyle w:val="Default"/>
        <w:numPr>
          <w:ilvl w:val="1"/>
          <w:numId w:val="6"/>
        </w:numPr>
        <w:rPr>
          <w:rFonts w:ascii="Calibri" w:hAnsi="Calibri" w:cs="Calibri"/>
        </w:rPr>
      </w:pPr>
      <w:r>
        <w:rPr>
          <w:rFonts w:ascii="Calibri" w:hAnsi="Calibri" w:cs="Calibri"/>
        </w:rPr>
        <w:t>Click on “print discharge” to generate the TTA</w:t>
      </w:r>
    </w:p>
    <w:p w14:paraId="2FA5E3AA" w14:textId="77777777" w:rsidR="00157653" w:rsidRDefault="00157653" w:rsidP="005530D1">
      <w:pPr>
        <w:pStyle w:val="Default"/>
        <w:numPr>
          <w:ilvl w:val="1"/>
          <w:numId w:val="6"/>
        </w:numPr>
        <w:rPr>
          <w:rFonts w:ascii="Calibri" w:hAnsi="Calibri" w:cs="Calibri"/>
        </w:rPr>
      </w:pPr>
      <w:r>
        <w:rPr>
          <w:rFonts w:ascii="Calibri" w:hAnsi="Calibri" w:cs="Calibri"/>
        </w:rPr>
        <w:t>Use the “export report” button to save the file to your desktop, ensure the file is saved as a .pdf file type</w:t>
      </w:r>
    </w:p>
    <w:p w14:paraId="0A1BBFD0" w14:textId="77777777" w:rsidR="00157653" w:rsidRDefault="00157653" w:rsidP="005530D1">
      <w:pPr>
        <w:pStyle w:val="Default"/>
        <w:numPr>
          <w:ilvl w:val="0"/>
          <w:numId w:val="6"/>
        </w:numPr>
        <w:rPr>
          <w:rFonts w:ascii="Calibri" w:hAnsi="Calibri" w:cs="Calibri"/>
        </w:rPr>
      </w:pPr>
      <w:r>
        <w:rPr>
          <w:rFonts w:ascii="Calibri" w:hAnsi="Calibri" w:cs="Calibri"/>
        </w:rPr>
        <w:t>Log on to PharmOutcomes and enter the hospital referral service</w:t>
      </w:r>
    </w:p>
    <w:p w14:paraId="659A33E0" w14:textId="77777777" w:rsidR="00157653" w:rsidRPr="00157653" w:rsidRDefault="00157653" w:rsidP="005530D1">
      <w:pPr>
        <w:pStyle w:val="Default"/>
        <w:numPr>
          <w:ilvl w:val="1"/>
          <w:numId w:val="6"/>
        </w:numPr>
        <w:rPr>
          <w:rFonts w:ascii="Calibri" w:hAnsi="Calibri" w:cs="Calibri"/>
        </w:rPr>
      </w:pPr>
      <w:r>
        <w:rPr>
          <w:rFonts w:ascii="Calibri" w:hAnsi="Calibri" w:cs="Calibri"/>
        </w:rPr>
        <w:t xml:space="preserve">Enter the </w:t>
      </w:r>
      <w:hyperlink r:id="rId8" w:history="1">
        <w:r>
          <w:rPr>
            <w:rStyle w:val="Hyperlink"/>
          </w:rPr>
          <w:t>https://pharmoutcomes.org/pharmoutcomes/</w:t>
        </w:r>
      </w:hyperlink>
      <w:r>
        <w:t xml:space="preserve"> address into your browser</w:t>
      </w:r>
    </w:p>
    <w:p w14:paraId="67C503BF" w14:textId="77777777" w:rsidR="00157653" w:rsidRPr="00157653" w:rsidRDefault="00157653" w:rsidP="005530D1">
      <w:pPr>
        <w:pStyle w:val="Default"/>
        <w:numPr>
          <w:ilvl w:val="1"/>
          <w:numId w:val="6"/>
        </w:numPr>
        <w:rPr>
          <w:rFonts w:ascii="Calibri" w:hAnsi="Calibri" w:cs="Calibri"/>
        </w:rPr>
      </w:pPr>
      <w:r>
        <w:t>Log in using your individual user credentials</w:t>
      </w:r>
    </w:p>
    <w:p w14:paraId="0C2D9B65" w14:textId="77777777" w:rsidR="00157653" w:rsidRPr="00157653" w:rsidRDefault="00157653" w:rsidP="005530D1">
      <w:pPr>
        <w:pStyle w:val="Default"/>
        <w:numPr>
          <w:ilvl w:val="1"/>
          <w:numId w:val="6"/>
        </w:numPr>
        <w:rPr>
          <w:rFonts w:ascii="Calibri" w:hAnsi="Calibri" w:cs="Calibri"/>
        </w:rPr>
      </w:pPr>
      <w:r>
        <w:t>Click on the “services” tab and then the “hospital referral” menu option</w:t>
      </w:r>
    </w:p>
    <w:p w14:paraId="4CAF1F79" w14:textId="77777777" w:rsidR="00157653" w:rsidRPr="00157653" w:rsidRDefault="00157653" w:rsidP="005530D1">
      <w:pPr>
        <w:pStyle w:val="Default"/>
        <w:numPr>
          <w:ilvl w:val="0"/>
          <w:numId w:val="6"/>
        </w:numPr>
        <w:rPr>
          <w:rFonts w:ascii="Calibri" w:hAnsi="Calibri" w:cs="Calibri"/>
        </w:rPr>
      </w:pPr>
      <w:r>
        <w:t>Tick the “consent to share” box to confirm that the patient has provided informed verbal consent</w:t>
      </w:r>
    </w:p>
    <w:p w14:paraId="75573E1E" w14:textId="77777777" w:rsidR="00157653" w:rsidRDefault="00157653" w:rsidP="005530D1">
      <w:pPr>
        <w:pStyle w:val="Default"/>
        <w:numPr>
          <w:ilvl w:val="0"/>
          <w:numId w:val="6"/>
        </w:numPr>
        <w:rPr>
          <w:rFonts w:ascii="Calibri" w:hAnsi="Calibri" w:cs="Calibri"/>
        </w:rPr>
      </w:pPr>
      <w:r>
        <w:t>Use the patient demographic service to search for the necessary patient</w:t>
      </w:r>
    </w:p>
    <w:p w14:paraId="2EF70AF2" w14:textId="77777777" w:rsidR="00157653" w:rsidRDefault="00157653" w:rsidP="005530D1">
      <w:pPr>
        <w:pStyle w:val="Default"/>
        <w:numPr>
          <w:ilvl w:val="1"/>
          <w:numId w:val="6"/>
        </w:numPr>
        <w:rPr>
          <w:rFonts w:ascii="Calibri" w:hAnsi="Calibri" w:cs="Calibri"/>
        </w:rPr>
      </w:pPr>
      <w:r>
        <w:rPr>
          <w:rFonts w:ascii="Calibri" w:hAnsi="Calibri" w:cs="Calibri"/>
        </w:rPr>
        <w:t>Search by D.O.B + sex + family name, or D.O.B + hospital number</w:t>
      </w:r>
    </w:p>
    <w:p w14:paraId="566BBE1B" w14:textId="77777777" w:rsidR="00157653" w:rsidRDefault="00157653" w:rsidP="005530D1">
      <w:pPr>
        <w:pStyle w:val="Default"/>
        <w:numPr>
          <w:ilvl w:val="1"/>
          <w:numId w:val="6"/>
        </w:numPr>
        <w:rPr>
          <w:rFonts w:ascii="Calibri" w:hAnsi="Calibri" w:cs="Calibri"/>
        </w:rPr>
      </w:pPr>
      <w:r>
        <w:rPr>
          <w:rFonts w:ascii="Calibri" w:hAnsi="Calibri" w:cs="Calibri"/>
        </w:rPr>
        <w:t>Once the patient has been found, confirm details are correct</w:t>
      </w:r>
    </w:p>
    <w:p w14:paraId="7E68E3A0" w14:textId="77777777" w:rsidR="006849CA" w:rsidRDefault="00157653" w:rsidP="005530D1">
      <w:pPr>
        <w:pStyle w:val="Default"/>
        <w:numPr>
          <w:ilvl w:val="1"/>
          <w:numId w:val="6"/>
        </w:numPr>
        <w:rPr>
          <w:rFonts w:ascii="Calibri" w:hAnsi="Calibri" w:cs="Calibri"/>
        </w:rPr>
      </w:pPr>
      <w:r>
        <w:rPr>
          <w:rFonts w:ascii="Calibri" w:hAnsi="Calibri" w:cs="Calibri"/>
        </w:rPr>
        <w:t>Patient details and GP details will be auto-populated</w:t>
      </w:r>
    </w:p>
    <w:p w14:paraId="18F17ED1" w14:textId="77777777" w:rsidR="00157653" w:rsidRDefault="00157653" w:rsidP="005530D1">
      <w:pPr>
        <w:pStyle w:val="Default"/>
        <w:numPr>
          <w:ilvl w:val="0"/>
          <w:numId w:val="6"/>
        </w:numPr>
        <w:rPr>
          <w:rFonts w:ascii="Calibri" w:hAnsi="Calibri" w:cs="Calibri"/>
        </w:rPr>
      </w:pPr>
      <w:r>
        <w:rPr>
          <w:rFonts w:ascii="Calibri" w:hAnsi="Calibri" w:cs="Calibri"/>
        </w:rPr>
        <w:t>Enter the patient’s contact number, in case the community pharmacy needs to make contact</w:t>
      </w:r>
    </w:p>
    <w:p w14:paraId="039ADDFD" w14:textId="77777777" w:rsidR="00157653" w:rsidRDefault="00157653" w:rsidP="005530D1">
      <w:pPr>
        <w:pStyle w:val="Default"/>
        <w:numPr>
          <w:ilvl w:val="0"/>
          <w:numId w:val="6"/>
        </w:numPr>
        <w:rPr>
          <w:rFonts w:ascii="Calibri" w:hAnsi="Calibri" w:cs="Calibri"/>
        </w:rPr>
      </w:pPr>
      <w:r>
        <w:rPr>
          <w:rFonts w:ascii="Calibri" w:hAnsi="Calibri" w:cs="Calibri"/>
        </w:rPr>
        <w:t>Enter the patient’s hospital number</w:t>
      </w:r>
    </w:p>
    <w:p w14:paraId="6742E004" w14:textId="77777777" w:rsidR="00157653" w:rsidRDefault="00157653" w:rsidP="005530D1">
      <w:pPr>
        <w:pStyle w:val="Default"/>
        <w:numPr>
          <w:ilvl w:val="0"/>
          <w:numId w:val="6"/>
        </w:numPr>
        <w:rPr>
          <w:rFonts w:ascii="Calibri" w:hAnsi="Calibri" w:cs="Calibri"/>
        </w:rPr>
      </w:pPr>
      <w:r>
        <w:rPr>
          <w:rFonts w:ascii="Calibri" w:hAnsi="Calibri" w:cs="Calibri"/>
        </w:rPr>
        <w:t>Enter the patient’s pharmacy</w:t>
      </w:r>
    </w:p>
    <w:p w14:paraId="0B98E0A2" w14:textId="77777777" w:rsidR="00157653" w:rsidRDefault="00157653" w:rsidP="005530D1">
      <w:pPr>
        <w:pStyle w:val="Default"/>
        <w:numPr>
          <w:ilvl w:val="1"/>
          <w:numId w:val="6"/>
        </w:numPr>
        <w:rPr>
          <w:rFonts w:ascii="Calibri" w:hAnsi="Calibri" w:cs="Calibri"/>
        </w:rPr>
      </w:pPr>
      <w:r>
        <w:rPr>
          <w:rFonts w:ascii="Calibri" w:hAnsi="Calibri" w:cs="Calibri"/>
        </w:rPr>
        <w:t>Pharmacy may be searched by name, street, postcode or via the map tool</w:t>
      </w:r>
    </w:p>
    <w:p w14:paraId="02EE5EE7" w14:textId="77777777" w:rsidR="00157653" w:rsidRDefault="00157653" w:rsidP="005530D1">
      <w:pPr>
        <w:pStyle w:val="Default"/>
        <w:numPr>
          <w:ilvl w:val="1"/>
          <w:numId w:val="6"/>
        </w:numPr>
        <w:rPr>
          <w:rFonts w:ascii="Calibri" w:hAnsi="Calibri" w:cs="Calibri"/>
        </w:rPr>
      </w:pPr>
      <w:r>
        <w:rPr>
          <w:rFonts w:ascii="Calibri" w:hAnsi="Calibri" w:cs="Calibri"/>
        </w:rPr>
        <w:t>Pharmacies that are coloured grey and are non-selectable fall outside of the locality</w:t>
      </w:r>
    </w:p>
    <w:p w14:paraId="0DBB724D" w14:textId="77777777" w:rsidR="00157653" w:rsidRDefault="00157653" w:rsidP="005530D1">
      <w:pPr>
        <w:pStyle w:val="Default"/>
        <w:numPr>
          <w:ilvl w:val="0"/>
          <w:numId w:val="6"/>
        </w:numPr>
        <w:rPr>
          <w:rFonts w:ascii="Calibri" w:hAnsi="Calibri" w:cs="Calibri"/>
        </w:rPr>
      </w:pPr>
      <w:r>
        <w:rPr>
          <w:rFonts w:ascii="Calibri" w:hAnsi="Calibri" w:cs="Calibri"/>
        </w:rPr>
        <w:t>Select the suggested actions from the list of services</w:t>
      </w:r>
    </w:p>
    <w:p w14:paraId="6B1CB828" w14:textId="77777777" w:rsidR="00157653" w:rsidRDefault="00157653" w:rsidP="005530D1">
      <w:pPr>
        <w:pStyle w:val="Default"/>
        <w:numPr>
          <w:ilvl w:val="1"/>
          <w:numId w:val="6"/>
        </w:numPr>
        <w:rPr>
          <w:rFonts w:ascii="Calibri" w:hAnsi="Calibri" w:cs="Calibri"/>
        </w:rPr>
      </w:pPr>
      <w:r>
        <w:rPr>
          <w:rFonts w:ascii="Calibri" w:hAnsi="Calibri" w:cs="Calibri"/>
        </w:rPr>
        <w:t>For further information, refer to the referral guide (appendix 1)</w:t>
      </w:r>
    </w:p>
    <w:p w14:paraId="47D1D29D" w14:textId="77777777" w:rsidR="00157653" w:rsidRDefault="00157653" w:rsidP="005530D1">
      <w:pPr>
        <w:pStyle w:val="Default"/>
        <w:numPr>
          <w:ilvl w:val="0"/>
          <w:numId w:val="6"/>
        </w:numPr>
        <w:rPr>
          <w:rFonts w:ascii="Calibri" w:hAnsi="Calibri" w:cs="Calibri"/>
        </w:rPr>
      </w:pPr>
      <w:r>
        <w:rPr>
          <w:rFonts w:ascii="Calibri" w:hAnsi="Calibri" w:cs="Calibri"/>
        </w:rPr>
        <w:t>Add brief and relevant notes in the additional information box, this may include:</w:t>
      </w:r>
    </w:p>
    <w:p w14:paraId="5789A315" w14:textId="77777777" w:rsidR="00157653" w:rsidRDefault="00157653" w:rsidP="005530D1">
      <w:pPr>
        <w:pStyle w:val="Default"/>
        <w:numPr>
          <w:ilvl w:val="1"/>
          <w:numId w:val="6"/>
        </w:numPr>
        <w:rPr>
          <w:rFonts w:ascii="Calibri" w:hAnsi="Calibri" w:cs="Calibri"/>
        </w:rPr>
      </w:pPr>
      <w:r>
        <w:rPr>
          <w:rFonts w:ascii="Calibri" w:hAnsi="Calibri" w:cs="Calibri"/>
        </w:rPr>
        <w:t>Diagnosis</w:t>
      </w:r>
    </w:p>
    <w:p w14:paraId="5642327F" w14:textId="77777777" w:rsidR="00157653" w:rsidRDefault="00157653" w:rsidP="005530D1">
      <w:pPr>
        <w:pStyle w:val="Default"/>
        <w:numPr>
          <w:ilvl w:val="1"/>
          <w:numId w:val="6"/>
        </w:numPr>
        <w:rPr>
          <w:rFonts w:ascii="Calibri" w:hAnsi="Calibri" w:cs="Calibri"/>
        </w:rPr>
      </w:pPr>
      <w:r>
        <w:rPr>
          <w:rFonts w:ascii="Calibri" w:hAnsi="Calibri" w:cs="Calibri"/>
        </w:rPr>
        <w:t>Summary of changes</w:t>
      </w:r>
    </w:p>
    <w:p w14:paraId="4498121F" w14:textId="77777777" w:rsidR="00157653" w:rsidRDefault="00157653" w:rsidP="005530D1">
      <w:pPr>
        <w:pStyle w:val="Default"/>
        <w:numPr>
          <w:ilvl w:val="1"/>
          <w:numId w:val="6"/>
        </w:numPr>
        <w:rPr>
          <w:rFonts w:ascii="Calibri" w:hAnsi="Calibri" w:cs="Calibri"/>
        </w:rPr>
      </w:pPr>
      <w:r>
        <w:rPr>
          <w:rFonts w:ascii="Calibri" w:hAnsi="Calibri" w:cs="Calibri"/>
        </w:rPr>
        <w:t>Professional concerns</w:t>
      </w:r>
    </w:p>
    <w:p w14:paraId="18FBFCE4" w14:textId="77777777" w:rsidR="00157653" w:rsidRDefault="00157653" w:rsidP="005530D1">
      <w:pPr>
        <w:pStyle w:val="Default"/>
        <w:numPr>
          <w:ilvl w:val="0"/>
          <w:numId w:val="6"/>
        </w:numPr>
        <w:rPr>
          <w:rFonts w:ascii="Calibri" w:hAnsi="Calibri" w:cs="Calibri"/>
        </w:rPr>
      </w:pPr>
      <w:r>
        <w:rPr>
          <w:rFonts w:ascii="Calibri" w:hAnsi="Calibri" w:cs="Calibri"/>
        </w:rPr>
        <w:t>Note down your name,</w:t>
      </w:r>
      <w:r w:rsidR="00500ADB">
        <w:rPr>
          <w:rFonts w:ascii="Calibri" w:hAnsi="Calibri" w:cs="Calibri"/>
        </w:rPr>
        <w:t xml:space="preserve"> TCAM</w:t>
      </w:r>
      <w:r>
        <w:rPr>
          <w:rFonts w:ascii="Calibri" w:hAnsi="Calibri" w:cs="Calibri"/>
        </w:rPr>
        <w:t xml:space="preserve"> email address</w:t>
      </w:r>
      <w:r w:rsidR="00500ADB">
        <w:rPr>
          <w:rFonts w:ascii="Calibri" w:hAnsi="Calibri" w:cs="Calibri"/>
        </w:rPr>
        <w:t xml:space="preserve"> </w:t>
      </w:r>
      <w:r>
        <w:rPr>
          <w:rFonts w:ascii="Calibri" w:hAnsi="Calibri" w:cs="Calibri"/>
        </w:rPr>
        <w:t>and bleep number</w:t>
      </w:r>
    </w:p>
    <w:p w14:paraId="16217133" w14:textId="77777777" w:rsidR="00157653" w:rsidRDefault="00500ADB" w:rsidP="005530D1">
      <w:pPr>
        <w:pStyle w:val="Default"/>
        <w:numPr>
          <w:ilvl w:val="1"/>
          <w:numId w:val="6"/>
        </w:numPr>
        <w:rPr>
          <w:rFonts w:ascii="Calibri" w:hAnsi="Calibri" w:cs="Calibri"/>
        </w:rPr>
      </w:pPr>
      <w:r>
        <w:rPr>
          <w:rFonts w:ascii="Calibri" w:hAnsi="Calibri" w:cs="Calibri"/>
        </w:rPr>
        <w:t>The NHS.net email address</w:t>
      </w:r>
      <w:r w:rsidR="00157653">
        <w:rPr>
          <w:rFonts w:ascii="Calibri" w:hAnsi="Calibri" w:cs="Calibri"/>
        </w:rPr>
        <w:t xml:space="preserve"> will be used as the default contact route</w:t>
      </w:r>
    </w:p>
    <w:p w14:paraId="1C00781D" w14:textId="77777777" w:rsidR="00157653" w:rsidRDefault="00157653" w:rsidP="005530D1">
      <w:pPr>
        <w:pStyle w:val="Default"/>
        <w:numPr>
          <w:ilvl w:val="1"/>
          <w:numId w:val="6"/>
        </w:numPr>
        <w:rPr>
          <w:rFonts w:ascii="Calibri" w:hAnsi="Calibri" w:cs="Calibri"/>
        </w:rPr>
      </w:pPr>
      <w:r>
        <w:rPr>
          <w:rFonts w:ascii="Calibri" w:hAnsi="Calibri" w:cs="Calibri"/>
        </w:rPr>
        <w:t>Bleep numbers will only be used in urgent scenarios</w:t>
      </w:r>
    </w:p>
    <w:p w14:paraId="590CA80E" w14:textId="77777777" w:rsidR="00157653" w:rsidRDefault="00157653" w:rsidP="005530D1">
      <w:pPr>
        <w:pStyle w:val="Default"/>
        <w:numPr>
          <w:ilvl w:val="1"/>
          <w:numId w:val="6"/>
        </w:numPr>
        <w:rPr>
          <w:rFonts w:ascii="Calibri" w:hAnsi="Calibri" w:cs="Calibri"/>
        </w:rPr>
      </w:pPr>
      <w:r>
        <w:rPr>
          <w:rFonts w:ascii="Calibri" w:hAnsi="Calibri" w:cs="Calibri"/>
        </w:rPr>
        <w:lastRenderedPageBreak/>
        <w:t>If you are carrying a bleep and receive a request for the previous bleep holder, ensure the message, pharmacy and contact details are handed over in a timely manner</w:t>
      </w:r>
    </w:p>
    <w:p w14:paraId="559811C7" w14:textId="77777777" w:rsidR="00157653" w:rsidRDefault="00157653" w:rsidP="005530D1">
      <w:pPr>
        <w:pStyle w:val="Default"/>
        <w:numPr>
          <w:ilvl w:val="0"/>
          <w:numId w:val="6"/>
        </w:numPr>
        <w:rPr>
          <w:rFonts w:ascii="Calibri" w:hAnsi="Calibri" w:cs="Calibri"/>
        </w:rPr>
      </w:pPr>
      <w:r>
        <w:rPr>
          <w:rFonts w:ascii="Calibri" w:hAnsi="Calibri" w:cs="Calibri"/>
        </w:rPr>
        <w:t>The ePMA TTA should be attached to the referral</w:t>
      </w:r>
    </w:p>
    <w:p w14:paraId="45EEE053" w14:textId="77777777" w:rsidR="00157653" w:rsidRDefault="00157653" w:rsidP="005530D1">
      <w:pPr>
        <w:pStyle w:val="Default"/>
        <w:numPr>
          <w:ilvl w:val="1"/>
          <w:numId w:val="6"/>
        </w:numPr>
        <w:rPr>
          <w:rFonts w:ascii="Calibri" w:hAnsi="Calibri" w:cs="Calibri"/>
        </w:rPr>
      </w:pPr>
      <w:r>
        <w:rPr>
          <w:rFonts w:ascii="Calibri" w:hAnsi="Calibri" w:cs="Calibri"/>
        </w:rPr>
        <w:t>Click “add” next to the “add discharge summary” field</w:t>
      </w:r>
    </w:p>
    <w:p w14:paraId="7820B29B" w14:textId="77777777" w:rsidR="00157653" w:rsidRDefault="00157653" w:rsidP="005530D1">
      <w:pPr>
        <w:pStyle w:val="Default"/>
        <w:numPr>
          <w:ilvl w:val="1"/>
          <w:numId w:val="6"/>
        </w:numPr>
        <w:rPr>
          <w:rFonts w:ascii="Calibri" w:hAnsi="Calibri" w:cs="Calibri"/>
        </w:rPr>
      </w:pPr>
      <w:r>
        <w:rPr>
          <w:rFonts w:ascii="Calibri" w:hAnsi="Calibri" w:cs="Calibri"/>
        </w:rPr>
        <w:t>Upload the .pdf copy of the ePMA TTA from your desktop</w:t>
      </w:r>
    </w:p>
    <w:p w14:paraId="1970D813" w14:textId="77777777" w:rsidR="00157653" w:rsidRDefault="00157653" w:rsidP="005530D1">
      <w:pPr>
        <w:pStyle w:val="Default"/>
        <w:numPr>
          <w:ilvl w:val="1"/>
          <w:numId w:val="6"/>
        </w:numPr>
        <w:rPr>
          <w:rFonts w:ascii="Calibri" w:hAnsi="Calibri" w:cs="Calibri"/>
        </w:rPr>
      </w:pPr>
      <w:r>
        <w:rPr>
          <w:rFonts w:ascii="Calibri" w:hAnsi="Calibri" w:cs="Calibri"/>
        </w:rPr>
        <w:t>To ensure good information governance, immediately delete the TTA from your desktop once the upload is complete</w:t>
      </w:r>
    </w:p>
    <w:p w14:paraId="191E1CCF" w14:textId="77777777" w:rsidR="00157653" w:rsidRDefault="00157653" w:rsidP="005530D1">
      <w:pPr>
        <w:pStyle w:val="Default"/>
        <w:numPr>
          <w:ilvl w:val="0"/>
          <w:numId w:val="6"/>
        </w:numPr>
        <w:rPr>
          <w:rFonts w:ascii="Calibri" w:hAnsi="Calibri" w:cs="Calibri"/>
        </w:rPr>
      </w:pPr>
      <w:r>
        <w:rPr>
          <w:rFonts w:ascii="Calibri" w:hAnsi="Calibri" w:cs="Calibri"/>
        </w:rPr>
        <w:t>Click “save” to send the referral to the community pharmacy</w:t>
      </w:r>
    </w:p>
    <w:p w14:paraId="3343E4C0" w14:textId="77777777" w:rsidR="00157653" w:rsidRPr="00157653" w:rsidRDefault="00157653" w:rsidP="00157653">
      <w:pPr>
        <w:pStyle w:val="Default"/>
        <w:rPr>
          <w:rFonts w:ascii="Calibri" w:hAnsi="Calibri" w:cs="Calibri"/>
        </w:rPr>
      </w:pPr>
    </w:p>
    <w:p w14:paraId="4EAB7264" w14:textId="77777777" w:rsidR="00E25CBA" w:rsidRDefault="00E25CBA" w:rsidP="00554B8A">
      <w:pPr>
        <w:ind w:left="-360"/>
        <w:rPr>
          <w:rFonts w:cs="Arial"/>
          <w:b/>
          <w:bCs/>
        </w:rPr>
      </w:pPr>
    </w:p>
    <w:p w14:paraId="22503B99" w14:textId="77777777" w:rsidR="004C0473" w:rsidRDefault="00554B8A" w:rsidP="005530D1">
      <w:pPr>
        <w:numPr>
          <w:ilvl w:val="0"/>
          <w:numId w:val="1"/>
        </w:numPr>
        <w:ind w:hanging="720"/>
        <w:rPr>
          <w:rFonts w:cs="Arial"/>
          <w:b/>
          <w:bCs/>
        </w:rPr>
      </w:pPr>
      <w:r>
        <w:rPr>
          <w:rFonts w:cs="Arial"/>
          <w:b/>
          <w:bCs/>
        </w:rPr>
        <w:t>Known Risks</w:t>
      </w:r>
    </w:p>
    <w:p w14:paraId="7B0B2B2E" w14:textId="77777777" w:rsidR="004C0473" w:rsidRPr="002B0466" w:rsidRDefault="004C0473" w:rsidP="004C0473">
      <w:pPr>
        <w:ind w:left="-360"/>
        <w:rPr>
          <w:rFonts w:ascii="Calibri" w:hAnsi="Calibri" w:cs="Calibri"/>
          <w:b/>
          <w:bCs/>
        </w:rPr>
      </w:pPr>
    </w:p>
    <w:p w14:paraId="7684724D" w14:textId="77777777" w:rsidR="00554B8A" w:rsidRPr="0009731A" w:rsidRDefault="0009731A" w:rsidP="005530D1">
      <w:pPr>
        <w:pStyle w:val="BodyText"/>
        <w:numPr>
          <w:ilvl w:val="0"/>
          <w:numId w:val="7"/>
        </w:numPr>
        <w:rPr>
          <w:sz w:val="24"/>
        </w:rPr>
      </w:pPr>
      <w:r>
        <w:rPr>
          <w:rFonts w:ascii="Calibri" w:hAnsi="Calibri" w:cs="Calibri"/>
          <w:sz w:val="24"/>
        </w:rPr>
        <w:t>IT failure</w:t>
      </w:r>
    </w:p>
    <w:p w14:paraId="5221F812" w14:textId="77777777" w:rsidR="0009731A" w:rsidRPr="00742355" w:rsidRDefault="0009731A" w:rsidP="005530D1">
      <w:pPr>
        <w:pStyle w:val="BodyText"/>
        <w:numPr>
          <w:ilvl w:val="0"/>
          <w:numId w:val="7"/>
        </w:numPr>
        <w:rPr>
          <w:sz w:val="24"/>
        </w:rPr>
      </w:pPr>
      <w:r>
        <w:rPr>
          <w:rFonts w:ascii="Calibri" w:hAnsi="Calibri" w:cs="Calibri"/>
          <w:sz w:val="24"/>
        </w:rPr>
        <w:t>Staff unfamiliar with ePMA</w:t>
      </w:r>
    </w:p>
    <w:p w14:paraId="7C36AD5E" w14:textId="77777777" w:rsidR="00742355" w:rsidRDefault="00742355" w:rsidP="00742355">
      <w:pPr>
        <w:pStyle w:val="BodyText"/>
        <w:rPr>
          <w:rFonts w:ascii="Calibri" w:hAnsi="Calibri" w:cs="Calibri"/>
          <w:sz w:val="24"/>
        </w:rPr>
      </w:pPr>
    </w:p>
    <w:p w14:paraId="58A5DF64" w14:textId="77777777" w:rsidR="00742355" w:rsidRDefault="00742355" w:rsidP="00742355">
      <w:pPr>
        <w:pStyle w:val="BodyText"/>
        <w:rPr>
          <w:rFonts w:ascii="Calibri" w:hAnsi="Calibri" w:cs="Calibri"/>
          <w:sz w:val="24"/>
        </w:rPr>
      </w:pPr>
    </w:p>
    <w:p w14:paraId="6E77DD10" w14:textId="77777777" w:rsidR="00742355" w:rsidRDefault="00742355" w:rsidP="00742355">
      <w:pPr>
        <w:pStyle w:val="BodyText"/>
        <w:rPr>
          <w:rFonts w:ascii="Calibri" w:hAnsi="Calibri" w:cs="Calibri"/>
          <w:sz w:val="24"/>
        </w:rPr>
      </w:pPr>
    </w:p>
    <w:p w14:paraId="07689192" w14:textId="77777777" w:rsidR="00742355" w:rsidRDefault="00742355" w:rsidP="00742355">
      <w:pPr>
        <w:pStyle w:val="BodyText"/>
        <w:rPr>
          <w:rFonts w:ascii="Calibri" w:hAnsi="Calibri" w:cs="Calibri"/>
          <w:sz w:val="24"/>
        </w:rPr>
      </w:pPr>
    </w:p>
    <w:p w14:paraId="51A55119" w14:textId="77777777" w:rsidR="00742355" w:rsidRDefault="00742355" w:rsidP="00742355">
      <w:pPr>
        <w:pStyle w:val="BodyText"/>
        <w:rPr>
          <w:rFonts w:ascii="Calibri" w:hAnsi="Calibri" w:cs="Calibri"/>
          <w:sz w:val="24"/>
        </w:rPr>
      </w:pPr>
    </w:p>
    <w:p w14:paraId="4E251BBA" w14:textId="77777777" w:rsidR="00742355" w:rsidRDefault="00742355" w:rsidP="00742355">
      <w:pPr>
        <w:pStyle w:val="BodyText"/>
        <w:rPr>
          <w:rFonts w:ascii="Calibri" w:hAnsi="Calibri" w:cs="Calibri"/>
          <w:sz w:val="24"/>
        </w:rPr>
      </w:pPr>
    </w:p>
    <w:p w14:paraId="00A57AC7" w14:textId="77777777" w:rsidR="00742355" w:rsidRDefault="00742355" w:rsidP="00742355">
      <w:pPr>
        <w:pStyle w:val="BodyText"/>
        <w:rPr>
          <w:rFonts w:ascii="Calibri" w:hAnsi="Calibri" w:cs="Calibri"/>
          <w:sz w:val="24"/>
        </w:rPr>
      </w:pPr>
    </w:p>
    <w:p w14:paraId="6763CD5A" w14:textId="77777777" w:rsidR="00742355" w:rsidRDefault="00742355" w:rsidP="00742355">
      <w:pPr>
        <w:pStyle w:val="BodyText"/>
        <w:rPr>
          <w:rFonts w:ascii="Calibri" w:hAnsi="Calibri" w:cs="Calibri"/>
          <w:sz w:val="24"/>
        </w:rPr>
      </w:pPr>
    </w:p>
    <w:p w14:paraId="7AC9E436" w14:textId="77777777" w:rsidR="00742355" w:rsidRDefault="00742355" w:rsidP="00742355">
      <w:pPr>
        <w:pStyle w:val="BodyText"/>
        <w:rPr>
          <w:rFonts w:ascii="Calibri" w:hAnsi="Calibri" w:cs="Calibri"/>
          <w:sz w:val="24"/>
        </w:rPr>
      </w:pPr>
    </w:p>
    <w:p w14:paraId="2E44F436" w14:textId="77777777" w:rsidR="00742355" w:rsidRDefault="00742355" w:rsidP="00742355">
      <w:pPr>
        <w:pStyle w:val="BodyText"/>
        <w:rPr>
          <w:rFonts w:ascii="Calibri" w:hAnsi="Calibri" w:cs="Calibri"/>
          <w:sz w:val="24"/>
        </w:rPr>
      </w:pPr>
    </w:p>
    <w:p w14:paraId="26599A8E" w14:textId="77777777" w:rsidR="00742355" w:rsidRDefault="00742355" w:rsidP="00742355">
      <w:pPr>
        <w:pStyle w:val="BodyText"/>
        <w:rPr>
          <w:rFonts w:ascii="Calibri" w:hAnsi="Calibri" w:cs="Calibri"/>
          <w:sz w:val="24"/>
        </w:rPr>
      </w:pPr>
    </w:p>
    <w:p w14:paraId="568AF261" w14:textId="77777777" w:rsidR="0015322C" w:rsidRDefault="0015322C" w:rsidP="00742355">
      <w:pPr>
        <w:pStyle w:val="BodyText"/>
        <w:rPr>
          <w:rFonts w:ascii="Frutiger-Bold" w:hAnsi="Frutiger-Bold" w:cs="Frutiger-Bold"/>
          <w:b/>
          <w:bCs/>
          <w:color w:val="78FF0A"/>
          <w:sz w:val="36"/>
          <w:szCs w:val="36"/>
          <w:lang w:eastAsia="en-GB"/>
        </w:rPr>
      </w:pPr>
    </w:p>
    <w:p w14:paraId="2B81674E" w14:textId="77777777" w:rsidR="00337653" w:rsidRDefault="00337653" w:rsidP="0015322C">
      <w:pPr>
        <w:pStyle w:val="BodyText"/>
        <w:jc w:val="center"/>
        <w:rPr>
          <w:b/>
          <w:sz w:val="22"/>
          <w:szCs w:val="22"/>
        </w:rPr>
      </w:pPr>
    </w:p>
    <w:p w14:paraId="1E64DCAD" w14:textId="77777777" w:rsidR="00337653" w:rsidRDefault="00337653" w:rsidP="0015322C">
      <w:pPr>
        <w:pStyle w:val="BodyText"/>
        <w:jc w:val="center"/>
        <w:rPr>
          <w:rFonts w:ascii="Calibri" w:hAnsi="Calibri"/>
          <w:b/>
          <w:sz w:val="24"/>
        </w:rPr>
      </w:pPr>
    </w:p>
    <w:p w14:paraId="1E729B50" w14:textId="77777777" w:rsidR="004F42BF" w:rsidRDefault="004F42BF" w:rsidP="0015322C">
      <w:pPr>
        <w:pStyle w:val="BodyText"/>
        <w:jc w:val="center"/>
        <w:rPr>
          <w:rFonts w:ascii="Calibri" w:hAnsi="Calibri"/>
          <w:b/>
          <w:sz w:val="24"/>
        </w:rPr>
      </w:pPr>
    </w:p>
    <w:p w14:paraId="2DBD03F6" w14:textId="77777777" w:rsidR="004F42BF" w:rsidRDefault="004F42BF" w:rsidP="0015322C">
      <w:pPr>
        <w:pStyle w:val="BodyText"/>
        <w:jc w:val="center"/>
        <w:rPr>
          <w:rFonts w:ascii="Calibri" w:hAnsi="Calibri"/>
          <w:b/>
          <w:sz w:val="24"/>
        </w:rPr>
      </w:pPr>
    </w:p>
    <w:p w14:paraId="474DBB2D" w14:textId="77777777" w:rsidR="004F42BF" w:rsidRDefault="004F42BF" w:rsidP="0015322C">
      <w:pPr>
        <w:pStyle w:val="BodyText"/>
        <w:jc w:val="center"/>
        <w:rPr>
          <w:rFonts w:ascii="Calibri" w:hAnsi="Calibri"/>
          <w:b/>
          <w:sz w:val="24"/>
        </w:rPr>
      </w:pPr>
    </w:p>
    <w:p w14:paraId="0C1279C7" w14:textId="77777777" w:rsidR="004F42BF" w:rsidRDefault="004F42BF" w:rsidP="0015322C">
      <w:pPr>
        <w:pStyle w:val="BodyText"/>
        <w:jc w:val="center"/>
        <w:rPr>
          <w:rFonts w:ascii="Calibri" w:hAnsi="Calibri"/>
          <w:b/>
          <w:sz w:val="24"/>
        </w:rPr>
      </w:pPr>
    </w:p>
    <w:p w14:paraId="3BD68542" w14:textId="77777777" w:rsidR="004F42BF" w:rsidRDefault="004F42BF" w:rsidP="0015322C">
      <w:pPr>
        <w:pStyle w:val="BodyText"/>
        <w:jc w:val="center"/>
        <w:rPr>
          <w:rFonts w:ascii="Calibri" w:hAnsi="Calibri"/>
          <w:b/>
          <w:sz w:val="24"/>
        </w:rPr>
      </w:pPr>
    </w:p>
    <w:p w14:paraId="2FC31722" w14:textId="77777777" w:rsidR="004F42BF" w:rsidRDefault="004F42BF" w:rsidP="0015322C">
      <w:pPr>
        <w:pStyle w:val="BodyText"/>
        <w:jc w:val="center"/>
        <w:rPr>
          <w:rFonts w:ascii="Calibri" w:hAnsi="Calibri"/>
          <w:b/>
          <w:sz w:val="24"/>
        </w:rPr>
      </w:pPr>
    </w:p>
    <w:p w14:paraId="6A5B4B3D" w14:textId="77777777" w:rsidR="004F42BF" w:rsidRDefault="004F42BF" w:rsidP="0015322C">
      <w:pPr>
        <w:pStyle w:val="BodyText"/>
        <w:jc w:val="center"/>
        <w:rPr>
          <w:rFonts w:ascii="Calibri" w:hAnsi="Calibri"/>
          <w:b/>
          <w:sz w:val="24"/>
        </w:rPr>
      </w:pPr>
    </w:p>
    <w:p w14:paraId="4B6265D6" w14:textId="77777777" w:rsidR="004F42BF" w:rsidRDefault="004F42BF" w:rsidP="0015322C">
      <w:pPr>
        <w:pStyle w:val="BodyText"/>
        <w:jc w:val="center"/>
        <w:rPr>
          <w:rFonts w:ascii="Calibri" w:hAnsi="Calibri"/>
          <w:b/>
          <w:sz w:val="24"/>
        </w:rPr>
      </w:pPr>
    </w:p>
    <w:p w14:paraId="18E99431" w14:textId="77777777" w:rsidR="004F42BF" w:rsidRDefault="004F42BF" w:rsidP="0015322C">
      <w:pPr>
        <w:pStyle w:val="BodyText"/>
        <w:jc w:val="center"/>
        <w:rPr>
          <w:rFonts w:ascii="Calibri" w:hAnsi="Calibri"/>
          <w:b/>
          <w:sz w:val="24"/>
        </w:rPr>
      </w:pPr>
    </w:p>
    <w:p w14:paraId="53E6E049" w14:textId="77777777" w:rsidR="004F42BF" w:rsidRDefault="004F42BF" w:rsidP="0015322C">
      <w:pPr>
        <w:pStyle w:val="BodyText"/>
        <w:jc w:val="center"/>
        <w:rPr>
          <w:rFonts w:ascii="Calibri" w:hAnsi="Calibri"/>
          <w:b/>
          <w:sz w:val="24"/>
        </w:rPr>
      </w:pPr>
    </w:p>
    <w:p w14:paraId="5B372B1B" w14:textId="77777777" w:rsidR="004F42BF" w:rsidRDefault="004F42BF" w:rsidP="0015322C">
      <w:pPr>
        <w:pStyle w:val="BodyText"/>
        <w:jc w:val="center"/>
        <w:rPr>
          <w:rFonts w:ascii="Calibri" w:hAnsi="Calibri"/>
          <w:b/>
          <w:sz w:val="24"/>
        </w:rPr>
      </w:pPr>
    </w:p>
    <w:p w14:paraId="6E7D9BCC" w14:textId="77777777" w:rsidR="004F42BF" w:rsidRDefault="004F42BF" w:rsidP="0015322C">
      <w:pPr>
        <w:pStyle w:val="BodyText"/>
        <w:jc w:val="center"/>
        <w:rPr>
          <w:rFonts w:ascii="Calibri" w:hAnsi="Calibri"/>
          <w:b/>
          <w:sz w:val="24"/>
        </w:rPr>
      </w:pPr>
    </w:p>
    <w:p w14:paraId="63CEDE03" w14:textId="77777777" w:rsidR="004F42BF" w:rsidRDefault="004F42BF" w:rsidP="0015322C">
      <w:pPr>
        <w:pStyle w:val="BodyText"/>
        <w:jc w:val="center"/>
        <w:rPr>
          <w:rFonts w:ascii="Calibri" w:hAnsi="Calibri"/>
          <w:b/>
          <w:sz w:val="24"/>
        </w:rPr>
      </w:pPr>
    </w:p>
    <w:p w14:paraId="12281181" w14:textId="77777777" w:rsidR="004F42BF" w:rsidRDefault="004F42BF" w:rsidP="0015322C">
      <w:pPr>
        <w:pStyle w:val="BodyText"/>
        <w:jc w:val="center"/>
        <w:rPr>
          <w:rFonts w:ascii="Calibri" w:hAnsi="Calibri"/>
          <w:b/>
          <w:sz w:val="24"/>
        </w:rPr>
      </w:pPr>
    </w:p>
    <w:p w14:paraId="2634315F" w14:textId="77777777" w:rsidR="004F42BF" w:rsidRDefault="004F42BF" w:rsidP="0015322C">
      <w:pPr>
        <w:pStyle w:val="BodyText"/>
        <w:jc w:val="center"/>
        <w:rPr>
          <w:rFonts w:ascii="Calibri" w:hAnsi="Calibri"/>
          <w:b/>
          <w:sz w:val="24"/>
        </w:rPr>
      </w:pPr>
    </w:p>
    <w:p w14:paraId="3B56C322" w14:textId="77777777" w:rsidR="004F42BF" w:rsidRDefault="004F42BF" w:rsidP="0015322C">
      <w:pPr>
        <w:pStyle w:val="BodyText"/>
        <w:jc w:val="center"/>
        <w:rPr>
          <w:rFonts w:ascii="Calibri" w:hAnsi="Calibri"/>
          <w:b/>
          <w:sz w:val="24"/>
        </w:rPr>
      </w:pPr>
    </w:p>
    <w:p w14:paraId="0A88BCFB" w14:textId="77777777" w:rsidR="004F42BF" w:rsidRDefault="004F42BF" w:rsidP="0015322C">
      <w:pPr>
        <w:pStyle w:val="BodyText"/>
        <w:jc w:val="center"/>
        <w:rPr>
          <w:rFonts w:ascii="Calibri" w:hAnsi="Calibri"/>
          <w:b/>
          <w:sz w:val="24"/>
        </w:rPr>
      </w:pPr>
    </w:p>
    <w:p w14:paraId="3AC6A38E" w14:textId="77777777" w:rsidR="004F42BF" w:rsidRDefault="004F42BF" w:rsidP="0015322C">
      <w:pPr>
        <w:pStyle w:val="BodyText"/>
        <w:jc w:val="center"/>
        <w:rPr>
          <w:rFonts w:ascii="Calibri" w:hAnsi="Calibri"/>
          <w:b/>
          <w:sz w:val="24"/>
        </w:rPr>
      </w:pPr>
    </w:p>
    <w:p w14:paraId="717D452A" w14:textId="77777777" w:rsidR="004F42BF" w:rsidRDefault="004F42BF" w:rsidP="0015322C">
      <w:pPr>
        <w:pStyle w:val="BodyText"/>
        <w:jc w:val="center"/>
        <w:rPr>
          <w:rFonts w:ascii="Calibri" w:hAnsi="Calibri"/>
          <w:b/>
          <w:sz w:val="24"/>
        </w:rPr>
      </w:pPr>
    </w:p>
    <w:p w14:paraId="6DD36081" w14:textId="77777777" w:rsidR="004F42BF" w:rsidRPr="00A31455" w:rsidRDefault="004F42BF" w:rsidP="004F42BF">
      <w:pPr>
        <w:pStyle w:val="BodyText"/>
        <w:rPr>
          <w:rFonts w:ascii="Calibri" w:hAnsi="Calibri"/>
          <w:b/>
          <w:sz w:val="24"/>
        </w:rPr>
      </w:pPr>
      <w:r>
        <w:rPr>
          <w:rFonts w:ascii="Calibri" w:hAnsi="Calibri"/>
          <w:b/>
          <w:sz w:val="24"/>
        </w:rPr>
        <w:lastRenderedPageBreak/>
        <w:t>Appendix 1:</w:t>
      </w:r>
    </w:p>
    <w:p w14:paraId="612A25A1" w14:textId="77777777" w:rsidR="0015322C" w:rsidRPr="00337653" w:rsidRDefault="0015322C" w:rsidP="0015322C">
      <w:pPr>
        <w:pStyle w:val="BodyText"/>
        <w:jc w:val="center"/>
        <w:rPr>
          <w:rFonts w:ascii="Arial" w:hAnsi="Arial" w:cs="Arial"/>
          <w:b/>
          <w:sz w:val="28"/>
          <w:szCs w:val="28"/>
        </w:rPr>
      </w:pPr>
      <w:r w:rsidRPr="00337653">
        <w:rPr>
          <w:rFonts w:ascii="Arial" w:hAnsi="Arial" w:cs="Arial"/>
          <w:b/>
          <w:sz w:val="28"/>
          <w:szCs w:val="28"/>
        </w:rPr>
        <w:t>TCAM referral guide</w:t>
      </w:r>
    </w:p>
    <w:p w14:paraId="28F27991" w14:textId="77777777" w:rsidR="0015322C" w:rsidRDefault="0015322C" w:rsidP="0015322C">
      <w:pPr>
        <w:pStyle w:val="BodyText"/>
      </w:pPr>
    </w:p>
    <w:p w14:paraId="792E6E9D" w14:textId="77777777" w:rsidR="0015322C" w:rsidRPr="00A31455" w:rsidRDefault="0015322C" w:rsidP="0015322C">
      <w:pPr>
        <w:pStyle w:val="BodyText"/>
        <w:rPr>
          <w:rFonts w:ascii="Calibri" w:hAnsi="Calibri"/>
          <w:b/>
          <w:sz w:val="24"/>
        </w:rPr>
      </w:pPr>
      <w:r w:rsidRPr="00A31455">
        <w:rPr>
          <w:rFonts w:ascii="Calibri" w:hAnsi="Calibri"/>
          <w:sz w:val="24"/>
        </w:rPr>
        <w:t xml:space="preserve">Referral through PharmOutcomes should be considered where the patient is expected to benefit from community pharmacy intervention. To simplify the referral process, criteria have been devised to capture all patients who are likely to experience benefits, as well as maximising the incentive for community pharmacies to undertake an intervention. </w:t>
      </w:r>
      <w:r w:rsidRPr="00A31455">
        <w:rPr>
          <w:rFonts w:ascii="Calibri" w:hAnsi="Calibri"/>
          <w:b/>
          <w:sz w:val="24"/>
        </w:rPr>
        <w:t>These criteria include:</w:t>
      </w:r>
    </w:p>
    <w:p w14:paraId="05566D0F" w14:textId="77777777" w:rsidR="0015322C" w:rsidRPr="00A31455" w:rsidRDefault="0015322C" w:rsidP="0015322C">
      <w:pPr>
        <w:pStyle w:val="BodyText"/>
        <w:rPr>
          <w:rFonts w:ascii="Calibri" w:hAnsi="Calibri"/>
          <w:sz w:val="24"/>
        </w:rPr>
      </w:pPr>
    </w:p>
    <w:p w14:paraId="5FA27AD7" w14:textId="77777777" w:rsidR="0015322C" w:rsidRPr="00A31455" w:rsidRDefault="0015322C" w:rsidP="0015322C">
      <w:pPr>
        <w:pStyle w:val="BodyText"/>
        <w:numPr>
          <w:ilvl w:val="0"/>
          <w:numId w:val="8"/>
        </w:numPr>
        <w:rPr>
          <w:rFonts w:ascii="Calibri" w:hAnsi="Calibri"/>
          <w:b/>
          <w:sz w:val="24"/>
        </w:rPr>
      </w:pPr>
      <w:r w:rsidRPr="00A31455">
        <w:rPr>
          <w:rFonts w:ascii="Calibri" w:hAnsi="Calibri"/>
          <w:b/>
          <w:sz w:val="24"/>
        </w:rPr>
        <w:t>On pharmacist’s professional discretion</w:t>
      </w:r>
    </w:p>
    <w:p w14:paraId="774F7241" w14:textId="77777777" w:rsidR="0015322C" w:rsidRPr="00A31455" w:rsidRDefault="0015322C" w:rsidP="0015322C">
      <w:pPr>
        <w:pStyle w:val="BodyText"/>
        <w:numPr>
          <w:ilvl w:val="1"/>
          <w:numId w:val="8"/>
        </w:numPr>
        <w:rPr>
          <w:rFonts w:ascii="Calibri" w:hAnsi="Calibri"/>
          <w:b/>
          <w:sz w:val="24"/>
        </w:rPr>
      </w:pPr>
      <w:r w:rsidRPr="00A31455">
        <w:rPr>
          <w:rFonts w:ascii="Calibri" w:hAnsi="Calibri"/>
          <w:sz w:val="24"/>
        </w:rPr>
        <w:t>One of the primary drivers for this service is to reduce the number of medicines related readmissions and A&amp;E visits. Undertake referrals where this is the expected outcome</w:t>
      </w:r>
    </w:p>
    <w:p w14:paraId="3DDF13E3" w14:textId="77777777" w:rsidR="0015322C" w:rsidRPr="00A31455" w:rsidRDefault="0015322C" w:rsidP="0015322C">
      <w:pPr>
        <w:pStyle w:val="BodyText"/>
        <w:numPr>
          <w:ilvl w:val="0"/>
          <w:numId w:val="8"/>
        </w:numPr>
        <w:rPr>
          <w:rFonts w:ascii="Calibri" w:hAnsi="Calibri"/>
          <w:b/>
          <w:sz w:val="24"/>
        </w:rPr>
      </w:pPr>
      <w:r w:rsidRPr="00A31455">
        <w:rPr>
          <w:rFonts w:ascii="Calibri" w:hAnsi="Calibri"/>
          <w:b/>
          <w:sz w:val="24"/>
        </w:rPr>
        <w:t>Patient discharged with changes to their regular medications</w:t>
      </w:r>
    </w:p>
    <w:p w14:paraId="320AB113" w14:textId="77777777" w:rsidR="0015322C" w:rsidRPr="00A31455" w:rsidRDefault="0015322C" w:rsidP="0015322C">
      <w:pPr>
        <w:pStyle w:val="BodyText"/>
        <w:numPr>
          <w:ilvl w:val="1"/>
          <w:numId w:val="8"/>
        </w:numPr>
        <w:rPr>
          <w:rFonts w:ascii="Calibri" w:hAnsi="Calibri"/>
          <w:b/>
          <w:sz w:val="24"/>
        </w:rPr>
      </w:pPr>
      <w:r w:rsidRPr="00A31455">
        <w:rPr>
          <w:rFonts w:ascii="Calibri" w:hAnsi="Calibri"/>
          <w:sz w:val="24"/>
        </w:rPr>
        <w:t>This allows the community pharmacy to reconcile discharge medications against the next repeat prescription they receive</w:t>
      </w:r>
    </w:p>
    <w:p w14:paraId="5F37F5ED" w14:textId="77777777" w:rsidR="0015322C" w:rsidRPr="00A31455" w:rsidRDefault="0015322C" w:rsidP="0015322C">
      <w:pPr>
        <w:pStyle w:val="BodyText"/>
        <w:numPr>
          <w:ilvl w:val="0"/>
          <w:numId w:val="8"/>
        </w:numPr>
        <w:rPr>
          <w:rFonts w:ascii="Calibri" w:hAnsi="Calibri"/>
          <w:b/>
          <w:sz w:val="24"/>
        </w:rPr>
      </w:pPr>
      <w:r w:rsidRPr="00A31455">
        <w:rPr>
          <w:rFonts w:ascii="Calibri" w:hAnsi="Calibri"/>
          <w:b/>
          <w:sz w:val="24"/>
        </w:rPr>
        <w:t>Patient started on high-risk medication</w:t>
      </w:r>
    </w:p>
    <w:p w14:paraId="00E25EA4" w14:textId="77777777" w:rsidR="0015322C" w:rsidRPr="00A31455" w:rsidRDefault="0015322C" w:rsidP="0015322C">
      <w:pPr>
        <w:pStyle w:val="BodyText"/>
        <w:numPr>
          <w:ilvl w:val="1"/>
          <w:numId w:val="8"/>
        </w:numPr>
        <w:rPr>
          <w:rFonts w:ascii="Calibri" w:hAnsi="Calibri"/>
          <w:b/>
          <w:sz w:val="24"/>
        </w:rPr>
      </w:pPr>
      <w:r w:rsidRPr="00A31455">
        <w:rPr>
          <w:rFonts w:ascii="Calibri" w:hAnsi="Calibri"/>
          <w:sz w:val="24"/>
        </w:rPr>
        <w:t>This follows the MUR high-risk medication classification: NSAIDs, diuretics, anti-platelets and anti-coagulants</w:t>
      </w:r>
    </w:p>
    <w:p w14:paraId="07556F61" w14:textId="77777777" w:rsidR="0015322C" w:rsidRPr="00A31455" w:rsidRDefault="0015322C" w:rsidP="0015322C">
      <w:pPr>
        <w:pStyle w:val="BodyText"/>
        <w:numPr>
          <w:ilvl w:val="0"/>
          <w:numId w:val="8"/>
        </w:numPr>
        <w:rPr>
          <w:rFonts w:ascii="Calibri" w:hAnsi="Calibri"/>
          <w:b/>
          <w:sz w:val="24"/>
        </w:rPr>
      </w:pPr>
      <w:r w:rsidRPr="00A31455">
        <w:rPr>
          <w:rFonts w:ascii="Calibri" w:hAnsi="Calibri"/>
          <w:b/>
          <w:sz w:val="24"/>
        </w:rPr>
        <w:t>Patient likely to experience adherence issues</w:t>
      </w:r>
    </w:p>
    <w:p w14:paraId="739E9FBF" w14:textId="77777777" w:rsidR="0015322C" w:rsidRPr="00A31455" w:rsidRDefault="0015322C" w:rsidP="0015322C">
      <w:pPr>
        <w:pStyle w:val="BodyText"/>
        <w:numPr>
          <w:ilvl w:val="1"/>
          <w:numId w:val="8"/>
        </w:numPr>
        <w:rPr>
          <w:rFonts w:ascii="Calibri" w:hAnsi="Calibri"/>
          <w:b/>
          <w:sz w:val="24"/>
        </w:rPr>
      </w:pPr>
      <w:r w:rsidRPr="00A31455">
        <w:rPr>
          <w:rFonts w:ascii="Calibri" w:hAnsi="Calibri"/>
          <w:sz w:val="24"/>
        </w:rPr>
        <w:t>This criteria involves patients with dexterity or compliance issues</w:t>
      </w:r>
    </w:p>
    <w:p w14:paraId="276360FB" w14:textId="77777777" w:rsidR="0015322C" w:rsidRPr="00A31455" w:rsidRDefault="0015322C" w:rsidP="0015322C">
      <w:pPr>
        <w:pStyle w:val="BodyText"/>
        <w:rPr>
          <w:rFonts w:ascii="Calibri" w:hAnsi="Calibri"/>
          <w:sz w:val="24"/>
        </w:rPr>
      </w:pPr>
    </w:p>
    <w:p w14:paraId="2A8C3F59" w14:textId="77777777" w:rsidR="0015322C" w:rsidRPr="00A31455" w:rsidRDefault="0015322C" w:rsidP="0015322C">
      <w:pPr>
        <w:pStyle w:val="BodyText"/>
        <w:rPr>
          <w:rFonts w:ascii="Calibri" w:hAnsi="Calibri"/>
          <w:b/>
          <w:sz w:val="24"/>
        </w:rPr>
      </w:pPr>
      <w:r w:rsidRPr="00A31455">
        <w:rPr>
          <w:rFonts w:ascii="Calibri" w:hAnsi="Calibri"/>
          <w:sz w:val="24"/>
        </w:rPr>
        <w:t xml:space="preserve">Once the suitability has been confirmed, the referral should include a suggestion for which service the patient may benefit from. </w:t>
      </w:r>
      <w:r w:rsidRPr="00A31455">
        <w:rPr>
          <w:rFonts w:ascii="Calibri" w:hAnsi="Calibri"/>
          <w:b/>
          <w:sz w:val="24"/>
        </w:rPr>
        <w:t>The options on PharmOutcomes include:</w:t>
      </w:r>
    </w:p>
    <w:p w14:paraId="6166FBB7" w14:textId="77777777" w:rsidR="0015322C" w:rsidRPr="00A31455" w:rsidRDefault="0015322C" w:rsidP="0015322C">
      <w:pPr>
        <w:pStyle w:val="BodyText"/>
        <w:rPr>
          <w:rFonts w:ascii="Calibri" w:hAnsi="Calibri"/>
          <w:sz w:val="24"/>
        </w:rPr>
      </w:pPr>
    </w:p>
    <w:p w14:paraId="46D39923" w14:textId="77777777" w:rsidR="0015322C" w:rsidRPr="00A31455" w:rsidRDefault="0015322C" w:rsidP="0015322C">
      <w:pPr>
        <w:pStyle w:val="BodyText"/>
        <w:numPr>
          <w:ilvl w:val="0"/>
          <w:numId w:val="9"/>
        </w:numPr>
        <w:rPr>
          <w:rFonts w:ascii="Calibri" w:hAnsi="Calibri"/>
          <w:sz w:val="24"/>
        </w:rPr>
      </w:pPr>
      <w:r w:rsidRPr="00A31455">
        <w:rPr>
          <w:rFonts w:ascii="Calibri" w:hAnsi="Calibri"/>
          <w:b/>
          <w:sz w:val="24"/>
        </w:rPr>
        <w:t>MUR</w:t>
      </w:r>
    </w:p>
    <w:p w14:paraId="3EA69EA5" w14:textId="77777777" w:rsidR="0015322C" w:rsidRPr="00A31455" w:rsidRDefault="0015322C" w:rsidP="0015322C">
      <w:pPr>
        <w:pStyle w:val="BodyText"/>
        <w:numPr>
          <w:ilvl w:val="1"/>
          <w:numId w:val="9"/>
        </w:numPr>
        <w:rPr>
          <w:rFonts w:ascii="Calibri" w:hAnsi="Calibri"/>
          <w:sz w:val="24"/>
        </w:rPr>
      </w:pPr>
      <w:r w:rsidRPr="00A31455">
        <w:rPr>
          <w:rFonts w:ascii="Calibri" w:hAnsi="Calibri"/>
          <w:sz w:val="24"/>
        </w:rPr>
        <w:t>Use this suggestion when the patient has a potential medicines use issue with any of their regular medicines. This is especially relevant when the patient meets the high-risk or changes to meds criteria</w:t>
      </w:r>
    </w:p>
    <w:p w14:paraId="1920EBFF" w14:textId="77777777" w:rsidR="0015322C" w:rsidRPr="00A31455" w:rsidRDefault="0015322C" w:rsidP="0015322C">
      <w:pPr>
        <w:pStyle w:val="BodyText"/>
        <w:numPr>
          <w:ilvl w:val="0"/>
          <w:numId w:val="9"/>
        </w:numPr>
        <w:rPr>
          <w:rFonts w:ascii="Calibri" w:hAnsi="Calibri"/>
          <w:sz w:val="24"/>
        </w:rPr>
      </w:pPr>
      <w:r w:rsidRPr="00A31455">
        <w:rPr>
          <w:rFonts w:ascii="Calibri" w:hAnsi="Calibri"/>
          <w:b/>
          <w:sz w:val="24"/>
        </w:rPr>
        <w:t>NMS</w:t>
      </w:r>
    </w:p>
    <w:p w14:paraId="1F0A5720" w14:textId="77777777" w:rsidR="0015322C" w:rsidRPr="00A31455" w:rsidRDefault="0015322C" w:rsidP="0015322C">
      <w:pPr>
        <w:pStyle w:val="BodyText"/>
        <w:numPr>
          <w:ilvl w:val="1"/>
          <w:numId w:val="9"/>
        </w:numPr>
        <w:rPr>
          <w:rFonts w:ascii="Calibri" w:hAnsi="Calibri"/>
          <w:sz w:val="24"/>
        </w:rPr>
      </w:pPr>
      <w:r w:rsidRPr="00A31455">
        <w:rPr>
          <w:rFonts w:ascii="Calibri" w:hAnsi="Calibri"/>
          <w:sz w:val="24"/>
        </w:rPr>
        <w:t xml:space="preserve">Use this suggestion when a new medicine has been started and you feel that follow-up will be beneficial to the patient. Medicines groups that can receive an NMS review are: asthma/COPD medications, type 2 diabetes medications, antiplatelet/anticoagulants and antihypertensives. </w:t>
      </w:r>
    </w:p>
    <w:p w14:paraId="6ABD3705" w14:textId="77777777" w:rsidR="0015322C" w:rsidRPr="00A31455" w:rsidRDefault="0015322C" w:rsidP="0015322C">
      <w:pPr>
        <w:pStyle w:val="BodyText"/>
        <w:numPr>
          <w:ilvl w:val="0"/>
          <w:numId w:val="9"/>
        </w:numPr>
        <w:rPr>
          <w:rFonts w:ascii="Calibri" w:hAnsi="Calibri"/>
          <w:sz w:val="24"/>
        </w:rPr>
      </w:pPr>
      <w:r w:rsidRPr="00A31455">
        <w:rPr>
          <w:rFonts w:ascii="Calibri" w:hAnsi="Calibri"/>
          <w:b/>
          <w:sz w:val="24"/>
        </w:rPr>
        <w:t>Adherence review</w:t>
      </w:r>
    </w:p>
    <w:p w14:paraId="77F4B732" w14:textId="77777777" w:rsidR="0015322C" w:rsidRPr="00A31455" w:rsidRDefault="0015322C" w:rsidP="0015322C">
      <w:pPr>
        <w:pStyle w:val="BodyText"/>
        <w:numPr>
          <w:ilvl w:val="1"/>
          <w:numId w:val="9"/>
        </w:numPr>
        <w:rPr>
          <w:rFonts w:ascii="Calibri" w:hAnsi="Calibri"/>
          <w:sz w:val="24"/>
        </w:rPr>
      </w:pPr>
      <w:r w:rsidRPr="00A31455">
        <w:rPr>
          <w:rFonts w:ascii="Calibri" w:hAnsi="Calibri"/>
          <w:sz w:val="24"/>
        </w:rPr>
        <w:t>This option does not mean that you deem the patient fit for an MDS, only that you believe the community pharmacist should assess the patient’s fitness to take their prescribed therapy</w:t>
      </w:r>
    </w:p>
    <w:p w14:paraId="0224E717" w14:textId="77777777" w:rsidR="0015322C" w:rsidRPr="00A31455" w:rsidRDefault="0015322C" w:rsidP="0015322C">
      <w:pPr>
        <w:pStyle w:val="BodyText"/>
        <w:numPr>
          <w:ilvl w:val="0"/>
          <w:numId w:val="9"/>
        </w:numPr>
        <w:rPr>
          <w:rFonts w:ascii="Calibri" w:hAnsi="Calibri"/>
          <w:sz w:val="24"/>
        </w:rPr>
      </w:pPr>
      <w:r w:rsidRPr="00A31455">
        <w:rPr>
          <w:rFonts w:ascii="Calibri" w:hAnsi="Calibri"/>
          <w:b/>
          <w:sz w:val="24"/>
        </w:rPr>
        <w:t>Other</w:t>
      </w:r>
    </w:p>
    <w:p w14:paraId="5CC1FC73" w14:textId="77777777" w:rsidR="0015322C" w:rsidRPr="00A31455" w:rsidRDefault="0015322C" w:rsidP="0015322C">
      <w:pPr>
        <w:pStyle w:val="BodyText"/>
        <w:numPr>
          <w:ilvl w:val="1"/>
          <w:numId w:val="9"/>
        </w:numPr>
        <w:rPr>
          <w:rFonts w:ascii="Calibri" w:hAnsi="Calibri"/>
          <w:sz w:val="24"/>
        </w:rPr>
      </w:pPr>
      <w:r w:rsidRPr="00A31455">
        <w:rPr>
          <w:rFonts w:ascii="Calibri" w:hAnsi="Calibri"/>
          <w:sz w:val="24"/>
        </w:rPr>
        <w:t>Ensure this the free type box is completed if this option is selected. You may suggest the pharmacist just carries out a reconciliation against the repeat Rx, or you may suggest a specific intervention (such as flu jab or inhaler technique check)</w:t>
      </w:r>
    </w:p>
    <w:p w14:paraId="18FEB03C" w14:textId="77777777" w:rsidR="0015322C" w:rsidRPr="00A31455" w:rsidRDefault="0015322C" w:rsidP="0015322C">
      <w:pPr>
        <w:pStyle w:val="BodyText"/>
        <w:rPr>
          <w:rFonts w:ascii="Calibri" w:hAnsi="Calibri"/>
          <w:sz w:val="24"/>
        </w:rPr>
      </w:pPr>
    </w:p>
    <w:p w14:paraId="7DBB99DA" w14:textId="77777777" w:rsidR="0015322C" w:rsidRPr="00A31455" w:rsidRDefault="0015322C" w:rsidP="0015322C">
      <w:pPr>
        <w:pStyle w:val="BodyText"/>
        <w:rPr>
          <w:rFonts w:ascii="Calibri" w:hAnsi="Calibri"/>
          <w:b/>
          <w:sz w:val="24"/>
        </w:rPr>
      </w:pPr>
      <w:r w:rsidRPr="00A31455">
        <w:rPr>
          <w:rFonts w:ascii="Calibri" w:hAnsi="Calibri"/>
          <w:sz w:val="24"/>
        </w:rPr>
        <w:t xml:space="preserve">After receiving the referral, community pharmacists can choose to undertake one or more of a number of courses of action. </w:t>
      </w:r>
      <w:r w:rsidRPr="00A31455">
        <w:rPr>
          <w:rFonts w:ascii="Calibri" w:hAnsi="Calibri"/>
          <w:b/>
          <w:sz w:val="24"/>
        </w:rPr>
        <w:t>The community pharmacist’s options include (but are not limited to):</w:t>
      </w:r>
    </w:p>
    <w:p w14:paraId="210A38E8" w14:textId="77777777" w:rsidR="0015322C" w:rsidRPr="00A31455" w:rsidRDefault="0015322C" w:rsidP="0015322C">
      <w:pPr>
        <w:pStyle w:val="BodyText"/>
        <w:rPr>
          <w:rFonts w:ascii="Calibri" w:hAnsi="Calibri"/>
          <w:sz w:val="24"/>
        </w:rPr>
      </w:pPr>
    </w:p>
    <w:p w14:paraId="2035E7BC" w14:textId="77777777" w:rsidR="0015322C" w:rsidRPr="00A31455" w:rsidRDefault="0015322C" w:rsidP="0015322C">
      <w:pPr>
        <w:pStyle w:val="BodyText"/>
        <w:numPr>
          <w:ilvl w:val="0"/>
          <w:numId w:val="10"/>
        </w:numPr>
        <w:rPr>
          <w:rFonts w:ascii="Calibri" w:hAnsi="Calibri"/>
          <w:b/>
          <w:sz w:val="24"/>
        </w:rPr>
      </w:pPr>
      <w:r w:rsidRPr="00A31455">
        <w:rPr>
          <w:rFonts w:ascii="Calibri" w:hAnsi="Calibri"/>
          <w:b/>
          <w:sz w:val="24"/>
        </w:rPr>
        <w:t>Medicine Use Reviews/ New Medicine Service</w:t>
      </w:r>
    </w:p>
    <w:p w14:paraId="4F07EDC3" w14:textId="77777777" w:rsidR="0015322C" w:rsidRPr="00A31455" w:rsidRDefault="0015322C" w:rsidP="0015322C">
      <w:pPr>
        <w:pStyle w:val="BodyText"/>
        <w:numPr>
          <w:ilvl w:val="1"/>
          <w:numId w:val="10"/>
        </w:numPr>
        <w:rPr>
          <w:rFonts w:ascii="Calibri" w:hAnsi="Calibri"/>
          <w:b/>
          <w:sz w:val="24"/>
        </w:rPr>
      </w:pPr>
      <w:r w:rsidRPr="00A31455">
        <w:rPr>
          <w:rFonts w:ascii="Calibri" w:hAnsi="Calibri"/>
          <w:sz w:val="24"/>
        </w:rPr>
        <w:lastRenderedPageBreak/>
        <w:t>These are advanced community pharmacy services, involving reviewing  the use of existing and new medicines</w:t>
      </w:r>
    </w:p>
    <w:p w14:paraId="7E394334" w14:textId="77777777" w:rsidR="0015322C" w:rsidRPr="00A31455" w:rsidRDefault="0015322C" w:rsidP="0015322C">
      <w:pPr>
        <w:pStyle w:val="BodyText"/>
        <w:numPr>
          <w:ilvl w:val="1"/>
          <w:numId w:val="10"/>
        </w:numPr>
        <w:rPr>
          <w:rFonts w:ascii="Calibri" w:hAnsi="Calibri"/>
          <w:b/>
          <w:sz w:val="24"/>
        </w:rPr>
      </w:pPr>
      <w:r w:rsidRPr="00A31455">
        <w:rPr>
          <w:rFonts w:ascii="Calibri" w:hAnsi="Calibri"/>
          <w:sz w:val="24"/>
        </w:rPr>
        <w:t xml:space="preserve">For further info, please visit: </w:t>
      </w:r>
      <w:hyperlink r:id="rId9" w:history="1">
        <w:r w:rsidRPr="00A31455">
          <w:rPr>
            <w:rStyle w:val="Hyperlink"/>
            <w:rFonts w:ascii="Calibri" w:hAnsi="Calibri"/>
            <w:sz w:val="24"/>
          </w:rPr>
          <w:t>https://psnc.org.uk/services-commissioning/advanced-services/murs/murs-the-basics/</w:t>
        </w:r>
      </w:hyperlink>
      <w:r w:rsidRPr="00A31455">
        <w:rPr>
          <w:rFonts w:ascii="Calibri" w:hAnsi="Calibri"/>
          <w:sz w:val="24"/>
        </w:rPr>
        <w:t xml:space="preserve"> and </w:t>
      </w:r>
      <w:hyperlink r:id="rId10" w:history="1">
        <w:r w:rsidRPr="00A31455">
          <w:rPr>
            <w:rStyle w:val="Hyperlink"/>
            <w:rFonts w:ascii="Calibri" w:hAnsi="Calibri"/>
            <w:sz w:val="24"/>
          </w:rPr>
          <w:t>https://psnc.org.uk/services-commissioning/advanced-services/nms/providing-the-nms/</w:t>
        </w:r>
      </w:hyperlink>
    </w:p>
    <w:p w14:paraId="75D41B46" w14:textId="77777777" w:rsidR="0015322C" w:rsidRPr="00A31455" w:rsidRDefault="0015322C" w:rsidP="0015322C">
      <w:pPr>
        <w:pStyle w:val="BodyText"/>
        <w:numPr>
          <w:ilvl w:val="0"/>
          <w:numId w:val="10"/>
        </w:numPr>
        <w:rPr>
          <w:rFonts w:ascii="Calibri" w:hAnsi="Calibri"/>
          <w:b/>
          <w:sz w:val="24"/>
        </w:rPr>
      </w:pPr>
      <w:r w:rsidRPr="00A31455">
        <w:rPr>
          <w:rFonts w:ascii="Calibri" w:hAnsi="Calibri"/>
          <w:b/>
          <w:sz w:val="24"/>
        </w:rPr>
        <w:t>Adherence reviews</w:t>
      </w:r>
    </w:p>
    <w:p w14:paraId="65273028" w14:textId="77777777" w:rsidR="0015322C" w:rsidRPr="00A31455" w:rsidRDefault="0015322C" w:rsidP="0015322C">
      <w:pPr>
        <w:pStyle w:val="BodyText"/>
        <w:numPr>
          <w:ilvl w:val="1"/>
          <w:numId w:val="10"/>
        </w:numPr>
        <w:rPr>
          <w:rFonts w:ascii="Calibri" w:hAnsi="Calibri"/>
          <w:b/>
          <w:sz w:val="24"/>
        </w:rPr>
      </w:pPr>
      <w:r w:rsidRPr="00A31455">
        <w:rPr>
          <w:rFonts w:ascii="Calibri" w:hAnsi="Calibri"/>
          <w:sz w:val="24"/>
        </w:rPr>
        <w:t>Community pharmacists may choose to undertake an Equality Act assessment for the purposes initiating a monitored dosage system (locally known as a NOMAD)</w:t>
      </w:r>
    </w:p>
    <w:p w14:paraId="2B6F65BE" w14:textId="77777777" w:rsidR="0015322C" w:rsidRPr="00A31455" w:rsidRDefault="0015322C" w:rsidP="0015322C">
      <w:pPr>
        <w:pStyle w:val="BodyText"/>
        <w:numPr>
          <w:ilvl w:val="0"/>
          <w:numId w:val="10"/>
        </w:numPr>
        <w:rPr>
          <w:rFonts w:ascii="Calibri" w:hAnsi="Calibri"/>
          <w:b/>
          <w:sz w:val="24"/>
        </w:rPr>
      </w:pPr>
      <w:r w:rsidRPr="00A31455">
        <w:rPr>
          <w:rFonts w:ascii="Calibri" w:hAnsi="Calibri"/>
          <w:b/>
          <w:sz w:val="24"/>
        </w:rPr>
        <w:t>Yellow card reporting</w:t>
      </w:r>
    </w:p>
    <w:p w14:paraId="6B9F037C" w14:textId="77777777" w:rsidR="0015322C" w:rsidRPr="00A31455" w:rsidRDefault="0015322C" w:rsidP="0015322C">
      <w:pPr>
        <w:pStyle w:val="BodyText"/>
        <w:numPr>
          <w:ilvl w:val="1"/>
          <w:numId w:val="10"/>
        </w:numPr>
        <w:rPr>
          <w:rFonts w:ascii="Calibri" w:hAnsi="Calibri"/>
          <w:b/>
          <w:sz w:val="24"/>
        </w:rPr>
      </w:pPr>
      <w:r w:rsidRPr="00A31455">
        <w:rPr>
          <w:rFonts w:ascii="Calibri" w:hAnsi="Calibri"/>
          <w:sz w:val="24"/>
        </w:rPr>
        <w:t>Community pharmacists are well placed to spot any side effects that may manifest as a result of medications started in hospital and continued in community</w:t>
      </w:r>
    </w:p>
    <w:p w14:paraId="4E55A79A" w14:textId="77777777" w:rsidR="0015322C" w:rsidRPr="00A31455" w:rsidRDefault="0015322C" w:rsidP="0015322C">
      <w:pPr>
        <w:pStyle w:val="BodyText"/>
        <w:numPr>
          <w:ilvl w:val="0"/>
          <w:numId w:val="10"/>
        </w:numPr>
        <w:rPr>
          <w:rFonts w:ascii="Calibri" w:hAnsi="Calibri"/>
          <w:b/>
          <w:sz w:val="24"/>
        </w:rPr>
      </w:pPr>
      <w:r w:rsidRPr="00A31455">
        <w:rPr>
          <w:rFonts w:ascii="Calibri" w:hAnsi="Calibri"/>
          <w:b/>
          <w:sz w:val="24"/>
        </w:rPr>
        <w:t xml:space="preserve">GP referral </w:t>
      </w:r>
    </w:p>
    <w:p w14:paraId="470BAD04" w14:textId="77777777" w:rsidR="0015322C" w:rsidRPr="00A31455" w:rsidRDefault="0015322C" w:rsidP="0015322C">
      <w:pPr>
        <w:pStyle w:val="BodyText"/>
        <w:numPr>
          <w:ilvl w:val="1"/>
          <w:numId w:val="10"/>
        </w:numPr>
        <w:rPr>
          <w:rFonts w:ascii="Calibri" w:hAnsi="Calibri"/>
          <w:b/>
          <w:sz w:val="24"/>
        </w:rPr>
      </w:pPr>
      <w:r w:rsidRPr="00A31455">
        <w:rPr>
          <w:rFonts w:ascii="Calibri" w:hAnsi="Calibri"/>
          <w:sz w:val="24"/>
        </w:rPr>
        <w:t>If the pharmacist uncovers any clinical issues, they can escalate to the patient’s GP. This potentially prevents unmanaged worsening to the point of hospital re-admission</w:t>
      </w:r>
    </w:p>
    <w:p w14:paraId="25F945C6" w14:textId="77777777" w:rsidR="0015322C" w:rsidRPr="00A31455" w:rsidRDefault="0015322C" w:rsidP="0015322C">
      <w:pPr>
        <w:pStyle w:val="BodyText"/>
        <w:numPr>
          <w:ilvl w:val="0"/>
          <w:numId w:val="10"/>
        </w:numPr>
        <w:rPr>
          <w:rFonts w:ascii="Calibri" w:hAnsi="Calibri"/>
          <w:b/>
          <w:sz w:val="24"/>
        </w:rPr>
      </w:pPr>
      <w:r w:rsidRPr="00A31455">
        <w:rPr>
          <w:rFonts w:ascii="Calibri" w:hAnsi="Calibri"/>
          <w:b/>
          <w:sz w:val="24"/>
        </w:rPr>
        <w:t xml:space="preserve">Repeat prescription reconciliation </w:t>
      </w:r>
    </w:p>
    <w:p w14:paraId="66F6962B" w14:textId="77777777" w:rsidR="0015322C" w:rsidRPr="00A31455" w:rsidRDefault="0015322C" w:rsidP="0015322C">
      <w:pPr>
        <w:pStyle w:val="BodyText"/>
        <w:numPr>
          <w:ilvl w:val="1"/>
          <w:numId w:val="10"/>
        </w:numPr>
        <w:rPr>
          <w:rFonts w:ascii="Calibri" w:hAnsi="Calibri"/>
          <w:b/>
          <w:sz w:val="24"/>
        </w:rPr>
      </w:pPr>
      <w:r w:rsidRPr="00A31455">
        <w:rPr>
          <w:rFonts w:ascii="Calibri" w:hAnsi="Calibri"/>
          <w:sz w:val="24"/>
        </w:rPr>
        <w:t>Repeat prescriptions issued by GPs are a frequent source of errors post-discharge. Community pharmacists can compare the discharge medication list to the repeat prescription and highlight discrepancies to the prescriber</w:t>
      </w:r>
    </w:p>
    <w:p w14:paraId="1CEBD646" w14:textId="77777777" w:rsidR="004F42BF" w:rsidRDefault="004F42BF" w:rsidP="00742355">
      <w:pPr>
        <w:pStyle w:val="BodyText"/>
        <w:rPr>
          <w:sz w:val="24"/>
        </w:rPr>
      </w:pPr>
    </w:p>
    <w:p w14:paraId="1E880F6D" w14:textId="77777777" w:rsidR="00742355" w:rsidRDefault="0015322C" w:rsidP="00742355">
      <w:pPr>
        <w:pStyle w:val="BodyText"/>
        <w:rPr>
          <w:sz w:val="24"/>
        </w:rPr>
      </w:pPr>
      <w:r>
        <w:rPr>
          <w:sz w:val="24"/>
        </w:rPr>
        <w:br w:type="page"/>
      </w:r>
      <w:r w:rsidR="004F42BF">
        <w:rPr>
          <w:sz w:val="24"/>
        </w:rPr>
        <w:lastRenderedPageBreak/>
        <w:t>Appendix 2:</w:t>
      </w:r>
    </w:p>
    <w:p w14:paraId="64C493D3" w14:textId="6635ABEF" w:rsidR="004F42BF" w:rsidRPr="0009731A" w:rsidRDefault="00974986" w:rsidP="00742355">
      <w:pPr>
        <w:pStyle w:val="BodyText"/>
        <w:rPr>
          <w:sz w:val="24"/>
        </w:rPr>
      </w:pPr>
      <w:r>
        <w:rPr>
          <w:noProof/>
          <w:sz w:val="24"/>
        </w:rPr>
        <w:drawing>
          <wp:inline distT="0" distB="0" distL="0" distR="0" wp14:anchorId="7B478959" wp14:editId="241C2149">
            <wp:extent cx="6115050" cy="794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943850"/>
                    </a:xfrm>
                    <a:prstGeom prst="rect">
                      <a:avLst/>
                    </a:prstGeom>
                    <a:noFill/>
                    <a:ln>
                      <a:noFill/>
                    </a:ln>
                  </pic:spPr>
                </pic:pic>
              </a:graphicData>
            </a:graphic>
          </wp:inline>
        </w:drawing>
      </w:r>
    </w:p>
    <w:sectPr w:rsidR="004F42BF" w:rsidRPr="0009731A" w:rsidSect="00314BEB">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BB6EE" w14:textId="77777777" w:rsidR="00E8640D" w:rsidRDefault="00E8640D">
      <w:r>
        <w:separator/>
      </w:r>
    </w:p>
  </w:endnote>
  <w:endnote w:type="continuationSeparator" w:id="0">
    <w:p w14:paraId="77EE3392" w14:textId="77777777" w:rsidR="00E8640D" w:rsidRDefault="00E8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rutiger-Bol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07A07" w14:textId="77777777" w:rsidR="004F42BF" w:rsidRDefault="004F4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3EB9" w14:textId="77777777" w:rsidR="004F42BF" w:rsidRDefault="004F42BF">
    <w:pPr>
      <w:pStyle w:val="Footer"/>
      <w:jc w:val="right"/>
    </w:pPr>
    <w:r>
      <w:fldChar w:fldCharType="begin"/>
    </w:r>
    <w:r>
      <w:instrText xml:space="preserve"> PAGE   \* MERGEFORMAT </w:instrText>
    </w:r>
    <w:r>
      <w:fldChar w:fldCharType="separate"/>
    </w:r>
    <w:r>
      <w:rPr>
        <w:noProof/>
      </w:rPr>
      <w:t>2</w:t>
    </w:r>
    <w:r>
      <w:rPr>
        <w:noProof/>
      </w:rPr>
      <w:fldChar w:fldCharType="end"/>
    </w:r>
  </w:p>
  <w:p w14:paraId="11210C9C" w14:textId="77777777" w:rsidR="003D2F76" w:rsidRDefault="004F42BF" w:rsidP="004F42BF">
    <w:pPr>
      <w:pStyle w:val="Footer"/>
      <w:tabs>
        <w:tab w:val="clear" w:pos="4153"/>
        <w:tab w:val="clear" w:pos="8306"/>
        <w:tab w:val="left" w:pos="1273"/>
      </w:tabs>
    </w:pPr>
    <w:r>
      <w:t>Example TCAM SOP for Hospital Trusts using Pharmoutcomes web portal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BED8E" w14:textId="77777777" w:rsidR="004F42BF" w:rsidRDefault="004F4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7ED93" w14:textId="77777777" w:rsidR="00E8640D" w:rsidRDefault="00E8640D">
      <w:r>
        <w:separator/>
      </w:r>
    </w:p>
  </w:footnote>
  <w:footnote w:type="continuationSeparator" w:id="0">
    <w:p w14:paraId="0C1AD040" w14:textId="77777777" w:rsidR="00E8640D" w:rsidRDefault="00E86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1926D" w14:textId="77777777" w:rsidR="004F42BF" w:rsidRDefault="004F4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45AB0" w14:textId="77777777" w:rsidR="003D2F76" w:rsidRDefault="003D2F76" w:rsidP="00314BEB">
    <w:pPr>
      <w:pStyle w:val="Header"/>
      <w:tabs>
        <w:tab w:val="left" w:pos="220"/>
      </w:tabs>
    </w:pPr>
    <w:r>
      <w:tab/>
    </w:r>
  </w:p>
  <w:p w14:paraId="1C27C471" w14:textId="77777777" w:rsidR="003D2F76" w:rsidRDefault="003D2F76" w:rsidP="00314BEB">
    <w:pPr>
      <w:pStyle w:val="Header"/>
      <w:tabs>
        <w:tab w:val="left" w:pos="220"/>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5353"/>
      <w:gridCol w:w="1541"/>
      <w:gridCol w:w="1923"/>
      <w:gridCol w:w="1927"/>
    </w:tblGrid>
    <w:tr w:rsidR="003D2F76" w14:paraId="273D92A6" w14:textId="77777777" w:rsidTr="00D857AE">
      <w:tblPrEx>
        <w:tblCellMar>
          <w:top w:w="0" w:type="dxa"/>
          <w:bottom w:w="0" w:type="dxa"/>
        </w:tblCellMar>
      </w:tblPrEx>
      <w:trPr>
        <w:cantSplit/>
        <w:jc w:val="center"/>
      </w:trPr>
      <w:tc>
        <w:tcPr>
          <w:tcW w:w="5353" w:type="dxa"/>
          <w:tcBorders>
            <w:left w:val="single" w:sz="18" w:space="0" w:color="auto"/>
            <w:right w:val="single" w:sz="18" w:space="0" w:color="auto"/>
          </w:tcBorders>
        </w:tcPr>
        <w:p w14:paraId="229A6973" w14:textId="77777777" w:rsidR="003D2F76" w:rsidRPr="00F17A6C" w:rsidRDefault="003D2F76" w:rsidP="00E77D51">
          <w:pPr>
            <w:pStyle w:val="Heading1"/>
            <w:rPr>
              <w:color w:val="FF0000"/>
              <w:sz w:val="28"/>
            </w:rPr>
          </w:pPr>
          <w:r>
            <w:br w:type="page"/>
          </w:r>
          <w:r w:rsidRPr="00F17A6C">
            <w:rPr>
              <w:color w:val="FF0000"/>
              <w:sz w:val="28"/>
            </w:rPr>
            <w:t>Department</w:t>
          </w:r>
        </w:p>
        <w:p w14:paraId="18CC172E" w14:textId="77777777" w:rsidR="003D2F76" w:rsidRDefault="003D2F76" w:rsidP="00E77D51">
          <w:pPr>
            <w:pStyle w:val="Heading1"/>
          </w:pPr>
        </w:p>
      </w:tc>
      <w:tc>
        <w:tcPr>
          <w:tcW w:w="5391" w:type="dxa"/>
          <w:gridSpan w:val="3"/>
          <w:tcBorders>
            <w:left w:val="nil"/>
          </w:tcBorders>
        </w:tcPr>
        <w:p w14:paraId="68A1EE3D" w14:textId="77777777" w:rsidR="003D2F76" w:rsidRPr="0043704F" w:rsidRDefault="003D2F76" w:rsidP="00E77D51">
          <w:pPr>
            <w:pStyle w:val="Heading1"/>
            <w:jc w:val="right"/>
            <w:rPr>
              <w:sz w:val="36"/>
              <w:szCs w:val="36"/>
            </w:rPr>
          </w:pPr>
          <w:smartTag w:uri="urn:schemas-microsoft-com:office:smarttags" w:element="place">
            <w:smartTag w:uri="urn:schemas-microsoft-com:office:smarttags" w:element="PlaceName">
              <w:r w:rsidRPr="0043704F">
                <w:rPr>
                  <w:sz w:val="36"/>
                  <w:szCs w:val="36"/>
                </w:rPr>
                <w:t>Luton &amp; Dunstable</w:t>
              </w:r>
            </w:smartTag>
            <w:r w:rsidRPr="0043704F">
              <w:rPr>
                <w:sz w:val="36"/>
                <w:szCs w:val="36"/>
              </w:rPr>
              <w:t xml:space="preserve"> </w:t>
            </w:r>
            <w:smartTag w:uri="urn:schemas-microsoft-com:office:smarttags" w:element="PlaceType">
              <w:r w:rsidRPr="0043704F">
                <w:rPr>
                  <w:sz w:val="36"/>
                  <w:szCs w:val="36"/>
                </w:rPr>
                <w:t>Hospital</w:t>
              </w:r>
            </w:smartTag>
          </w:smartTag>
        </w:p>
      </w:tc>
    </w:tr>
    <w:tr w:rsidR="003D2F76" w14:paraId="7A242700" w14:textId="77777777" w:rsidTr="00E77D51">
      <w:tblPrEx>
        <w:tblCellMar>
          <w:top w:w="0" w:type="dxa"/>
          <w:bottom w:w="0" w:type="dxa"/>
        </w:tblCellMar>
      </w:tblPrEx>
      <w:trPr>
        <w:cantSplit/>
        <w:trHeight w:val="389"/>
        <w:jc w:val="center"/>
      </w:trPr>
      <w:tc>
        <w:tcPr>
          <w:tcW w:w="6894" w:type="dxa"/>
          <w:gridSpan w:val="2"/>
          <w:vMerge w:val="restart"/>
          <w:tcBorders>
            <w:left w:val="single" w:sz="18" w:space="0" w:color="auto"/>
          </w:tcBorders>
          <w:shd w:val="clear" w:color="auto" w:fill="000000"/>
          <w:vAlign w:val="center"/>
        </w:tcPr>
        <w:p w14:paraId="002FA0C8" w14:textId="77777777" w:rsidR="003D2F76" w:rsidRPr="00F17A6C" w:rsidRDefault="003D2F76" w:rsidP="00E77D51">
          <w:pPr>
            <w:rPr>
              <w:b/>
              <w:color w:val="FF0000"/>
              <w:sz w:val="40"/>
            </w:rPr>
          </w:pPr>
          <w:r w:rsidRPr="00F17A6C">
            <w:rPr>
              <w:b/>
              <w:color w:val="FF0000"/>
              <w:sz w:val="40"/>
            </w:rPr>
            <w:t>SOP Title</w:t>
          </w:r>
        </w:p>
      </w:tc>
      <w:tc>
        <w:tcPr>
          <w:tcW w:w="1923" w:type="dxa"/>
          <w:vMerge w:val="restart"/>
          <w:tcBorders>
            <w:bottom w:val="nil"/>
          </w:tcBorders>
        </w:tcPr>
        <w:p w14:paraId="3E37CE28" w14:textId="77777777" w:rsidR="003D2F76" w:rsidRDefault="003D2F76" w:rsidP="00E77D51">
          <w:pPr>
            <w:rPr>
              <w:b/>
            </w:rPr>
          </w:pPr>
          <w:r>
            <w:rPr>
              <w:b/>
            </w:rPr>
            <w:t xml:space="preserve">Document Ref: </w:t>
          </w:r>
          <w:r w:rsidRPr="005E511E">
            <w:rPr>
              <w:b/>
            </w:rPr>
            <w:t>SOP</w:t>
          </w:r>
          <w:r w:rsidRPr="0089286E">
            <w:rPr>
              <w:b/>
              <w:color w:val="FF0000"/>
            </w:rPr>
            <w:t>XXX</w:t>
          </w:r>
        </w:p>
      </w:tc>
      <w:tc>
        <w:tcPr>
          <w:tcW w:w="1927" w:type="dxa"/>
          <w:tcBorders>
            <w:bottom w:val="single" w:sz="18" w:space="0" w:color="auto"/>
          </w:tcBorders>
        </w:tcPr>
        <w:p w14:paraId="7DECA288" w14:textId="77777777" w:rsidR="003D2F76" w:rsidRPr="00071569" w:rsidRDefault="003D2F76" w:rsidP="00E77D51">
          <w:pPr>
            <w:pStyle w:val="Heading1"/>
          </w:pPr>
          <w:r>
            <w:t xml:space="preserve">Version No: </w:t>
          </w:r>
          <w:r w:rsidRPr="0089286E">
            <w:rPr>
              <w:color w:val="FF0000"/>
            </w:rPr>
            <w:t>XX</w:t>
          </w:r>
        </w:p>
      </w:tc>
    </w:tr>
    <w:tr w:rsidR="003D2F76" w14:paraId="1CE3CC7A" w14:textId="77777777" w:rsidTr="00E77D51">
      <w:tblPrEx>
        <w:tblCellMar>
          <w:top w:w="0" w:type="dxa"/>
          <w:bottom w:w="0" w:type="dxa"/>
        </w:tblCellMar>
      </w:tblPrEx>
      <w:trPr>
        <w:cantSplit/>
        <w:trHeight w:val="260"/>
        <w:jc w:val="center"/>
      </w:trPr>
      <w:tc>
        <w:tcPr>
          <w:tcW w:w="6894" w:type="dxa"/>
          <w:gridSpan w:val="2"/>
          <w:vMerge/>
          <w:tcBorders>
            <w:left w:val="single" w:sz="18" w:space="0" w:color="auto"/>
            <w:bottom w:val="single" w:sz="18" w:space="0" w:color="auto"/>
          </w:tcBorders>
          <w:shd w:val="clear" w:color="auto" w:fill="000000"/>
        </w:tcPr>
        <w:p w14:paraId="57F924E8" w14:textId="77777777" w:rsidR="003D2F76" w:rsidRDefault="003D2F76" w:rsidP="00E77D51">
          <w:pPr>
            <w:rPr>
              <w:b/>
              <w:sz w:val="40"/>
            </w:rPr>
          </w:pPr>
        </w:p>
      </w:tc>
      <w:tc>
        <w:tcPr>
          <w:tcW w:w="1923" w:type="dxa"/>
          <w:vMerge/>
          <w:tcBorders>
            <w:top w:val="nil"/>
            <w:bottom w:val="single" w:sz="18" w:space="0" w:color="auto"/>
          </w:tcBorders>
        </w:tcPr>
        <w:p w14:paraId="0C09C681" w14:textId="77777777" w:rsidR="003D2F76" w:rsidRDefault="003D2F76" w:rsidP="00E77D51">
          <w:pPr>
            <w:rPr>
              <w:b/>
            </w:rPr>
          </w:pPr>
        </w:p>
      </w:tc>
      <w:tc>
        <w:tcPr>
          <w:tcW w:w="1927" w:type="dxa"/>
          <w:tcBorders>
            <w:top w:val="single" w:sz="18" w:space="0" w:color="auto"/>
            <w:bottom w:val="single" w:sz="18" w:space="0" w:color="auto"/>
          </w:tcBorders>
        </w:tcPr>
        <w:p w14:paraId="6E10FDC1" w14:textId="77777777" w:rsidR="003D2F76" w:rsidRDefault="003D2F76" w:rsidP="00E77D51">
          <w:pPr>
            <w:pStyle w:val="Heading1"/>
          </w:pPr>
          <w:r>
            <w:t xml:space="preserve">Page </w:t>
          </w:r>
          <w:r>
            <w:fldChar w:fldCharType="begin"/>
          </w:r>
          <w:r>
            <w:instrText xml:space="preserve"> PAGE </w:instrText>
          </w:r>
          <w:r>
            <w:fldChar w:fldCharType="separate"/>
          </w:r>
          <w:r>
            <w:rPr>
              <w:noProof/>
            </w:rPr>
            <w:t>1</w:t>
          </w:r>
          <w:r>
            <w:fldChar w:fldCharType="end"/>
          </w:r>
          <w:r>
            <w:t xml:space="preserve"> of </w:t>
          </w:r>
          <w:fldSimple w:instr=" NUMPAGES ">
            <w:r>
              <w:rPr>
                <w:noProof/>
              </w:rPr>
              <w:t>2</w:t>
            </w:r>
          </w:fldSimple>
        </w:p>
      </w:tc>
    </w:tr>
    <w:tr w:rsidR="003D2F76" w14:paraId="2130E73F" w14:textId="77777777" w:rsidTr="0021602A">
      <w:tblPrEx>
        <w:tblCellMar>
          <w:top w:w="0" w:type="dxa"/>
          <w:bottom w:w="0" w:type="dxa"/>
        </w:tblCellMar>
      </w:tblPrEx>
      <w:trPr>
        <w:cantSplit/>
        <w:jc w:val="center"/>
      </w:trPr>
      <w:tc>
        <w:tcPr>
          <w:tcW w:w="10744" w:type="dxa"/>
          <w:gridSpan w:val="4"/>
          <w:vAlign w:val="center"/>
        </w:tcPr>
        <w:p w14:paraId="6A28256E" w14:textId="77777777" w:rsidR="003D2F76" w:rsidRDefault="003D2F76" w:rsidP="00F17A6C">
          <w:pPr>
            <w:spacing w:before="120"/>
            <w:rPr>
              <w:i/>
            </w:rPr>
          </w:pPr>
          <w:r w:rsidRPr="00F17A6C">
            <w:rPr>
              <w:b/>
            </w:rPr>
            <w:t xml:space="preserve">Author: </w:t>
          </w:r>
          <w:r w:rsidRPr="00F17A6C">
            <w:rPr>
              <w:b/>
              <w:color w:val="FF0000"/>
            </w:rPr>
            <w:t>xxx</w:t>
          </w:r>
        </w:p>
      </w:tc>
    </w:tr>
  </w:tbl>
  <w:p w14:paraId="6C242025" w14:textId="77777777" w:rsidR="003D2F76" w:rsidRDefault="003D2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40702"/>
    <w:multiLevelType w:val="hybridMultilevel"/>
    <w:tmpl w:val="A7C82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C182F"/>
    <w:multiLevelType w:val="hybridMultilevel"/>
    <w:tmpl w:val="13561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B829E3"/>
    <w:multiLevelType w:val="multilevel"/>
    <w:tmpl w:val="F7C4AB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val="0"/>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4DE91C22"/>
    <w:multiLevelType w:val="hybridMultilevel"/>
    <w:tmpl w:val="269EC47E"/>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4" w15:restartNumberingAfterBreak="0">
    <w:nsid w:val="54797CFB"/>
    <w:multiLevelType w:val="hybridMultilevel"/>
    <w:tmpl w:val="FAE8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EF610D"/>
    <w:multiLevelType w:val="hybridMultilevel"/>
    <w:tmpl w:val="9B245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A79A8"/>
    <w:multiLevelType w:val="hybridMultilevel"/>
    <w:tmpl w:val="EABC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5D351F"/>
    <w:multiLevelType w:val="hybridMultilevel"/>
    <w:tmpl w:val="269EC47E"/>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8" w15:restartNumberingAfterBreak="0">
    <w:nsid w:val="7612525A"/>
    <w:multiLevelType w:val="hybridMultilevel"/>
    <w:tmpl w:val="F9E2E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A668F2"/>
    <w:multiLevelType w:val="hybridMultilevel"/>
    <w:tmpl w:val="99B6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3"/>
  </w:num>
  <w:num w:numId="6">
    <w:abstractNumId w:val="8"/>
  </w:num>
  <w:num w:numId="7">
    <w:abstractNumId w:val="9"/>
  </w:num>
  <w:num w:numId="8">
    <w:abstractNumId w:val="5"/>
  </w:num>
  <w:num w:numId="9">
    <w:abstractNumId w:val="0"/>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3A7"/>
    <w:rsid w:val="00002499"/>
    <w:rsid w:val="000034F9"/>
    <w:rsid w:val="00004452"/>
    <w:rsid w:val="00030C0C"/>
    <w:rsid w:val="00032ADB"/>
    <w:rsid w:val="000573CD"/>
    <w:rsid w:val="00075D42"/>
    <w:rsid w:val="0009731A"/>
    <w:rsid w:val="000A079F"/>
    <w:rsid w:val="000E5740"/>
    <w:rsid w:val="000E6F29"/>
    <w:rsid w:val="00111675"/>
    <w:rsid w:val="001119D6"/>
    <w:rsid w:val="001133D5"/>
    <w:rsid w:val="001169B4"/>
    <w:rsid w:val="00137917"/>
    <w:rsid w:val="0015322C"/>
    <w:rsid w:val="00157653"/>
    <w:rsid w:val="00180593"/>
    <w:rsid w:val="00191270"/>
    <w:rsid w:val="001A24B1"/>
    <w:rsid w:val="001C1E2E"/>
    <w:rsid w:val="001C78F6"/>
    <w:rsid w:val="00203645"/>
    <w:rsid w:val="0021602A"/>
    <w:rsid w:val="00221946"/>
    <w:rsid w:val="002A17E9"/>
    <w:rsid w:val="002B0466"/>
    <w:rsid w:val="002B0D93"/>
    <w:rsid w:val="002C39BF"/>
    <w:rsid w:val="00314BEB"/>
    <w:rsid w:val="0032235C"/>
    <w:rsid w:val="00326073"/>
    <w:rsid w:val="003312C7"/>
    <w:rsid w:val="00337653"/>
    <w:rsid w:val="00353659"/>
    <w:rsid w:val="00365B35"/>
    <w:rsid w:val="00366474"/>
    <w:rsid w:val="00367BA4"/>
    <w:rsid w:val="003857EE"/>
    <w:rsid w:val="003A4048"/>
    <w:rsid w:val="003D2F76"/>
    <w:rsid w:val="003E058B"/>
    <w:rsid w:val="003F36E9"/>
    <w:rsid w:val="0040269E"/>
    <w:rsid w:val="00437F54"/>
    <w:rsid w:val="00456809"/>
    <w:rsid w:val="0046708A"/>
    <w:rsid w:val="004763C9"/>
    <w:rsid w:val="00476576"/>
    <w:rsid w:val="004768A1"/>
    <w:rsid w:val="00490F89"/>
    <w:rsid w:val="00495189"/>
    <w:rsid w:val="004A232E"/>
    <w:rsid w:val="004A246C"/>
    <w:rsid w:val="004B02BF"/>
    <w:rsid w:val="004C0473"/>
    <w:rsid w:val="004F42BF"/>
    <w:rsid w:val="00500ADB"/>
    <w:rsid w:val="00501931"/>
    <w:rsid w:val="00507025"/>
    <w:rsid w:val="005118A0"/>
    <w:rsid w:val="005208C5"/>
    <w:rsid w:val="005530D1"/>
    <w:rsid w:val="00554B8A"/>
    <w:rsid w:val="005572DC"/>
    <w:rsid w:val="00574C89"/>
    <w:rsid w:val="00575562"/>
    <w:rsid w:val="0057760C"/>
    <w:rsid w:val="00581A9F"/>
    <w:rsid w:val="00582A95"/>
    <w:rsid w:val="005A67EE"/>
    <w:rsid w:val="005E511E"/>
    <w:rsid w:val="006305AF"/>
    <w:rsid w:val="00641DD4"/>
    <w:rsid w:val="006626BA"/>
    <w:rsid w:val="006633C6"/>
    <w:rsid w:val="006849CA"/>
    <w:rsid w:val="00686C39"/>
    <w:rsid w:val="0069007B"/>
    <w:rsid w:val="006A3FEC"/>
    <w:rsid w:val="006B1DE4"/>
    <w:rsid w:val="006F194E"/>
    <w:rsid w:val="00735984"/>
    <w:rsid w:val="0074174F"/>
    <w:rsid w:val="00742355"/>
    <w:rsid w:val="00751A7B"/>
    <w:rsid w:val="007752AE"/>
    <w:rsid w:val="00781358"/>
    <w:rsid w:val="00782F1F"/>
    <w:rsid w:val="00791720"/>
    <w:rsid w:val="007919EE"/>
    <w:rsid w:val="007935FE"/>
    <w:rsid w:val="00793C0A"/>
    <w:rsid w:val="007A74A0"/>
    <w:rsid w:val="007B070B"/>
    <w:rsid w:val="007B0FB2"/>
    <w:rsid w:val="007B7DBD"/>
    <w:rsid w:val="007D7D65"/>
    <w:rsid w:val="007E3F98"/>
    <w:rsid w:val="007E7383"/>
    <w:rsid w:val="0080188B"/>
    <w:rsid w:val="00815BFE"/>
    <w:rsid w:val="00827581"/>
    <w:rsid w:val="00830B15"/>
    <w:rsid w:val="0086770B"/>
    <w:rsid w:val="008869AE"/>
    <w:rsid w:val="0089286E"/>
    <w:rsid w:val="008B489C"/>
    <w:rsid w:val="00921B5E"/>
    <w:rsid w:val="009434F2"/>
    <w:rsid w:val="00962ACC"/>
    <w:rsid w:val="00966750"/>
    <w:rsid w:val="00974986"/>
    <w:rsid w:val="009763BA"/>
    <w:rsid w:val="00977E2F"/>
    <w:rsid w:val="00987B0F"/>
    <w:rsid w:val="009A3B1B"/>
    <w:rsid w:val="009A5A56"/>
    <w:rsid w:val="009B08AF"/>
    <w:rsid w:val="009D0CC8"/>
    <w:rsid w:val="009E137E"/>
    <w:rsid w:val="009E6A7D"/>
    <w:rsid w:val="009F5C56"/>
    <w:rsid w:val="00A00BC0"/>
    <w:rsid w:val="00A077AB"/>
    <w:rsid w:val="00A16C55"/>
    <w:rsid w:val="00A31455"/>
    <w:rsid w:val="00A44124"/>
    <w:rsid w:val="00A51C0F"/>
    <w:rsid w:val="00A652DF"/>
    <w:rsid w:val="00A72968"/>
    <w:rsid w:val="00A846B8"/>
    <w:rsid w:val="00A84D3C"/>
    <w:rsid w:val="00AA102D"/>
    <w:rsid w:val="00AC57D1"/>
    <w:rsid w:val="00AE4A2C"/>
    <w:rsid w:val="00AF2B67"/>
    <w:rsid w:val="00B23A3C"/>
    <w:rsid w:val="00B37F46"/>
    <w:rsid w:val="00B83634"/>
    <w:rsid w:val="00B936FD"/>
    <w:rsid w:val="00BA5B6B"/>
    <w:rsid w:val="00BE6747"/>
    <w:rsid w:val="00C10E9D"/>
    <w:rsid w:val="00C27DEB"/>
    <w:rsid w:val="00C66498"/>
    <w:rsid w:val="00C80A00"/>
    <w:rsid w:val="00CA35C7"/>
    <w:rsid w:val="00CB21B6"/>
    <w:rsid w:val="00CB43A7"/>
    <w:rsid w:val="00CF54E3"/>
    <w:rsid w:val="00D13E3D"/>
    <w:rsid w:val="00D15742"/>
    <w:rsid w:val="00D76039"/>
    <w:rsid w:val="00D812DC"/>
    <w:rsid w:val="00D857AE"/>
    <w:rsid w:val="00D956EA"/>
    <w:rsid w:val="00DC1BE4"/>
    <w:rsid w:val="00DC27CA"/>
    <w:rsid w:val="00DC4FD1"/>
    <w:rsid w:val="00DE74D7"/>
    <w:rsid w:val="00E02339"/>
    <w:rsid w:val="00E04708"/>
    <w:rsid w:val="00E25CBA"/>
    <w:rsid w:val="00E46E85"/>
    <w:rsid w:val="00E73362"/>
    <w:rsid w:val="00E77D51"/>
    <w:rsid w:val="00E81AE7"/>
    <w:rsid w:val="00E8563A"/>
    <w:rsid w:val="00E8640D"/>
    <w:rsid w:val="00E93F66"/>
    <w:rsid w:val="00E94E01"/>
    <w:rsid w:val="00ED2308"/>
    <w:rsid w:val="00ED64FE"/>
    <w:rsid w:val="00ED73DE"/>
    <w:rsid w:val="00EF3B8A"/>
    <w:rsid w:val="00F17A6C"/>
    <w:rsid w:val="00F40E0E"/>
    <w:rsid w:val="00F52138"/>
    <w:rsid w:val="00F61DBA"/>
    <w:rsid w:val="00F67082"/>
    <w:rsid w:val="00F705A1"/>
    <w:rsid w:val="00F868F0"/>
    <w:rsid w:val="00FA1680"/>
    <w:rsid w:val="00FC48A9"/>
    <w:rsid w:val="00FE4FCC"/>
    <w:rsid w:val="00FE71D5"/>
    <w:rsid w:val="00FF0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shapelayout v:ext="edit">
      <o:idmap v:ext="edit" data="1"/>
    </o:shapelayout>
  </w:shapeDefaults>
  <w:decimalSymbol w:val="."/>
  <w:listSeparator w:val=","/>
  <w14:docId w14:val="5E8EE9AA"/>
  <w15:chartTrackingRefBased/>
  <w15:docId w15:val="{F14C08D5-58A8-4C09-8C93-36E03A872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3A7"/>
    <w:rPr>
      <w:rFonts w:ascii="Arial" w:hAnsi="Arial"/>
      <w:sz w:val="24"/>
      <w:szCs w:val="24"/>
    </w:rPr>
  </w:style>
  <w:style w:type="paragraph" w:styleId="Heading1">
    <w:name w:val="heading 1"/>
    <w:basedOn w:val="Normal"/>
    <w:next w:val="Normal"/>
    <w:qFormat/>
    <w:rsid w:val="00CB43A7"/>
    <w:pPr>
      <w:keepNext/>
      <w:outlineLvl w:val="0"/>
    </w:pPr>
    <w:rPr>
      <w:rFonts w:cs="Arial"/>
      <w:b/>
      <w:bCs/>
      <w:lang w:eastAsia="en-US"/>
    </w:rPr>
  </w:style>
  <w:style w:type="paragraph" w:styleId="Heading3">
    <w:name w:val="heading 3"/>
    <w:basedOn w:val="Normal"/>
    <w:next w:val="Normal"/>
    <w:link w:val="Heading3Char"/>
    <w:uiPriority w:val="9"/>
    <w:qFormat/>
    <w:rsid w:val="00ED2308"/>
    <w:pPr>
      <w:keepNext/>
      <w:spacing w:before="240" w:after="60" w:line="276" w:lineRule="auto"/>
      <w:outlineLvl w:val="2"/>
    </w:pPr>
    <w:rPr>
      <w:rFonts w:ascii="Cambria" w:hAnsi="Cambria"/>
      <w:b/>
      <w:bCs/>
      <w:sz w:val="26"/>
      <w:szCs w:val="26"/>
      <w:lang w:eastAsia="en-US"/>
    </w:rPr>
  </w:style>
  <w:style w:type="paragraph" w:styleId="Heading8">
    <w:name w:val="heading 8"/>
    <w:basedOn w:val="Normal"/>
    <w:next w:val="Normal"/>
    <w:qFormat/>
    <w:rsid w:val="00827581"/>
    <w:pPr>
      <w:spacing w:before="240" w:after="60"/>
      <w:outlineLvl w:val="7"/>
    </w:pPr>
    <w:rPr>
      <w:rFonts w:ascii="Times New Roman" w:hAnsi="Times New Roman"/>
      <w:i/>
      <w:iCs/>
    </w:rPr>
  </w:style>
  <w:style w:type="paragraph" w:styleId="Heading9">
    <w:name w:val="heading 9"/>
    <w:basedOn w:val="Normal"/>
    <w:next w:val="Normal"/>
    <w:qFormat/>
    <w:rsid w:val="000034F9"/>
    <w:pPr>
      <w:spacing w:before="240" w:after="60"/>
      <w:outlineLvl w:val="8"/>
    </w:pPr>
    <w:rPr>
      <w:rFonts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CB43A7"/>
    <w:rPr>
      <w:rFonts w:ascii="Times New Roman" w:hAnsi="Times New Roman"/>
      <w:sz w:val="18"/>
      <w:lang w:eastAsia="en-US"/>
    </w:rPr>
  </w:style>
  <w:style w:type="paragraph" w:styleId="Footer">
    <w:name w:val="footer"/>
    <w:basedOn w:val="Normal"/>
    <w:link w:val="FooterChar"/>
    <w:uiPriority w:val="99"/>
    <w:rsid w:val="00CB43A7"/>
    <w:pPr>
      <w:tabs>
        <w:tab w:val="center" w:pos="4153"/>
        <w:tab w:val="right" w:pos="8306"/>
      </w:tabs>
    </w:pPr>
    <w:rPr>
      <w:rFonts w:ascii="Tahoma" w:hAnsi="Tahoma"/>
      <w:szCs w:val="20"/>
      <w:lang w:eastAsia="en-US"/>
    </w:rPr>
  </w:style>
  <w:style w:type="paragraph" w:styleId="Header">
    <w:name w:val="header"/>
    <w:basedOn w:val="Normal"/>
    <w:link w:val="HeaderChar"/>
    <w:uiPriority w:val="99"/>
    <w:rsid w:val="003E058B"/>
    <w:pPr>
      <w:tabs>
        <w:tab w:val="center" w:pos="4153"/>
        <w:tab w:val="right" w:pos="8306"/>
      </w:tabs>
    </w:pPr>
  </w:style>
  <w:style w:type="character" w:styleId="PageNumber">
    <w:name w:val="page number"/>
    <w:basedOn w:val="DefaultParagraphFont"/>
    <w:rsid w:val="003E058B"/>
  </w:style>
  <w:style w:type="table" w:styleId="TableGrid">
    <w:name w:val="Table Grid"/>
    <w:basedOn w:val="TableNormal"/>
    <w:rsid w:val="00D956E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67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782F1F"/>
    <w:rPr>
      <w:rFonts w:ascii="Tahoma" w:hAnsi="Tahoma" w:cs="Tahoma"/>
      <w:sz w:val="16"/>
      <w:szCs w:val="16"/>
    </w:rPr>
  </w:style>
  <w:style w:type="character" w:customStyle="1" w:styleId="BalloonTextChar">
    <w:name w:val="Balloon Text Char"/>
    <w:link w:val="BalloonText"/>
    <w:rsid w:val="00782F1F"/>
    <w:rPr>
      <w:rFonts w:ascii="Tahoma" w:hAnsi="Tahoma" w:cs="Tahoma"/>
      <w:sz w:val="16"/>
      <w:szCs w:val="16"/>
    </w:rPr>
  </w:style>
  <w:style w:type="character" w:customStyle="1" w:styleId="FooterChar">
    <w:name w:val="Footer Char"/>
    <w:link w:val="Footer"/>
    <w:uiPriority w:val="99"/>
    <w:rsid w:val="00782F1F"/>
    <w:rPr>
      <w:rFonts w:ascii="Tahoma" w:hAnsi="Tahoma"/>
      <w:sz w:val="24"/>
      <w:lang w:eastAsia="en-US"/>
    </w:rPr>
  </w:style>
  <w:style w:type="character" w:customStyle="1" w:styleId="PlainTextChar">
    <w:name w:val="Plain Text Char"/>
    <w:link w:val="PlainText"/>
    <w:locked/>
    <w:rsid w:val="007E3F98"/>
    <w:rPr>
      <w:rFonts w:ascii="Calibri" w:hAnsi="Calibri"/>
      <w:szCs w:val="21"/>
    </w:rPr>
  </w:style>
  <w:style w:type="paragraph" w:styleId="PlainText">
    <w:name w:val="Plain Text"/>
    <w:basedOn w:val="Normal"/>
    <w:link w:val="PlainTextChar"/>
    <w:rsid w:val="007E3F98"/>
    <w:rPr>
      <w:rFonts w:ascii="Calibri" w:hAnsi="Calibri"/>
      <w:sz w:val="20"/>
      <w:szCs w:val="21"/>
    </w:rPr>
  </w:style>
  <w:style w:type="character" w:customStyle="1" w:styleId="PlainTextChar1">
    <w:name w:val="Plain Text Char1"/>
    <w:rsid w:val="007E3F98"/>
    <w:rPr>
      <w:rFonts w:ascii="Courier New" w:hAnsi="Courier New" w:cs="Courier New"/>
    </w:rPr>
  </w:style>
  <w:style w:type="paragraph" w:styleId="ListParagraph">
    <w:name w:val="List Paragraph"/>
    <w:basedOn w:val="Normal"/>
    <w:uiPriority w:val="34"/>
    <w:qFormat/>
    <w:rsid w:val="00ED2308"/>
    <w:pPr>
      <w:ind w:left="720"/>
    </w:pPr>
  </w:style>
  <w:style w:type="character" w:customStyle="1" w:styleId="Heading3Char">
    <w:name w:val="Heading 3 Char"/>
    <w:link w:val="Heading3"/>
    <w:uiPriority w:val="9"/>
    <w:semiHidden/>
    <w:rsid w:val="00ED2308"/>
    <w:rPr>
      <w:rFonts w:ascii="Cambria" w:eastAsia="Times New Roman" w:hAnsi="Cambria" w:cs="Times New Roman"/>
      <w:b/>
      <w:bCs/>
      <w:sz w:val="26"/>
      <w:szCs w:val="26"/>
      <w:lang w:eastAsia="en-US"/>
    </w:rPr>
  </w:style>
  <w:style w:type="character" w:styleId="Hyperlink">
    <w:name w:val="Hyperlink"/>
    <w:uiPriority w:val="99"/>
    <w:unhideWhenUsed/>
    <w:rsid w:val="00157653"/>
    <w:rPr>
      <w:color w:val="0000FF"/>
      <w:u w:val="single"/>
    </w:rPr>
  </w:style>
  <w:style w:type="character" w:customStyle="1" w:styleId="HeaderChar">
    <w:name w:val="Header Char"/>
    <w:link w:val="Header"/>
    <w:uiPriority w:val="99"/>
    <w:rsid w:val="004F42BF"/>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9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pharmoutcomes.org/pharmoutcome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snc.org.uk/services-commissioning/advanced-services/nms/providing-the-n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snc.org.uk/services-commissioning/advanced-services/murs/murs-the-basic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3E99C5E-27CC-4662-AA15-EF5A59545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1207</Words>
  <Characters>6885</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lpstr>
    </vt:vector>
  </TitlesOfParts>
  <Company>Luton &amp; Dunstable NHS Trust</Company>
  <LinksUpToDate>false</LinksUpToDate>
  <CharactersWithSpaces>8076</CharactersWithSpaces>
  <SharedDoc>false</SharedDoc>
  <HLinks>
    <vt:vector size="18" baseType="variant">
      <vt:variant>
        <vt:i4>8257593</vt:i4>
      </vt:variant>
      <vt:variant>
        <vt:i4>6</vt:i4>
      </vt:variant>
      <vt:variant>
        <vt:i4>0</vt:i4>
      </vt:variant>
      <vt:variant>
        <vt:i4>5</vt:i4>
      </vt:variant>
      <vt:variant>
        <vt:lpwstr>https://psnc.org.uk/services-commissioning/advanced-services/nms/providing-the-nms/</vt:lpwstr>
      </vt:variant>
      <vt:variant>
        <vt:lpwstr/>
      </vt:variant>
      <vt:variant>
        <vt:i4>7143546</vt:i4>
      </vt:variant>
      <vt:variant>
        <vt:i4>3</vt:i4>
      </vt:variant>
      <vt:variant>
        <vt:i4>0</vt:i4>
      </vt:variant>
      <vt:variant>
        <vt:i4>5</vt:i4>
      </vt:variant>
      <vt:variant>
        <vt:lpwstr>https://psnc.org.uk/services-commissioning/advanced-services/murs/murs-the-basics/</vt:lpwstr>
      </vt:variant>
      <vt:variant>
        <vt:lpwstr/>
      </vt:variant>
      <vt:variant>
        <vt:i4>5046344</vt:i4>
      </vt:variant>
      <vt:variant>
        <vt:i4>0</vt:i4>
      </vt:variant>
      <vt:variant>
        <vt:i4>0</vt:i4>
      </vt:variant>
      <vt:variant>
        <vt:i4>5</vt:i4>
      </vt:variant>
      <vt:variant>
        <vt:lpwstr>https://pharmoutcomes.org/pharmoutcomes/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Default</dc:creator>
  <cp:keywords/>
  <cp:lastModifiedBy>Bethany Cronin</cp:lastModifiedBy>
  <cp:revision>2</cp:revision>
  <cp:lastPrinted>2015-07-29T14:12:00Z</cp:lastPrinted>
  <dcterms:created xsi:type="dcterms:W3CDTF">2020-04-23T09:41:00Z</dcterms:created>
  <dcterms:modified xsi:type="dcterms:W3CDTF">2020-04-23T09:41:00Z</dcterms:modified>
</cp:coreProperties>
</file>