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83013" w14:textId="77777777" w:rsidR="005105FB" w:rsidRDefault="008568BF">
      <w:pPr>
        <w:spacing w:after="50" w:line="259" w:lineRule="auto"/>
        <w:ind w:left="0" w:firstLine="0"/>
      </w:pPr>
      <w:r>
        <w:rPr>
          <w:b/>
          <w:color w:val="194871"/>
          <w:sz w:val="44"/>
        </w:rPr>
        <w:t xml:space="preserve">Rituals and Habits   </w:t>
      </w:r>
    </w:p>
    <w:p w14:paraId="77093013" w14:textId="77777777" w:rsidR="005105FB" w:rsidRDefault="008568BF">
      <w:pPr>
        <w:pStyle w:val="Heading1"/>
        <w:ind w:left="-5"/>
      </w:pPr>
      <w:r>
        <w:t xml:space="preserve">Summary </w:t>
      </w:r>
    </w:p>
    <w:p w14:paraId="36864DAD" w14:textId="77777777" w:rsidR="005105FB" w:rsidRDefault="008568BF">
      <w:pPr>
        <w:spacing w:after="66" w:line="259" w:lineRule="auto"/>
        <w:ind w:left="0" w:firstLine="0"/>
      </w:pPr>
      <w:r>
        <w:t xml:space="preserve"> </w:t>
      </w:r>
    </w:p>
    <w:p w14:paraId="595EBA97" w14:textId="77777777" w:rsidR="005105FB" w:rsidRDefault="008568BF">
      <w:pPr>
        <w:numPr>
          <w:ilvl w:val="0"/>
          <w:numId w:val="1"/>
        </w:numPr>
        <w:ind w:hanging="360"/>
      </w:pPr>
      <w:r>
        <w:t xml:space="preserve">Rituals and habits are a vital part of the informal, relational side of work that is a central feature of successful collaboration and communication. </w:t>
      </w:r>
    </w:p>
    <w:p w14:paraId="22291D68" w14:textId="77777777" w:rsidR="005105FB" w:rsidRDefault="008568BF">
      <w:pPr>
        <w:numPr>
          <w:ilvl w:val="0"/>
          <w:numId w:val="1"/>
        </w:numPr>
        <w:ind w:hanging="360"/>
      </w:pPr>
      <w:r>
        <w:rPr>
          <w:b/>
        </w:rPr>
        <w:t xml:space="preserve">Introductions </w:t>
      </w:r>
      <w:r>
        <w:t xml:space="preserve">are integral in setting a tone of communication and understanding. The </w:t>
      </w:r>
      <w:proofErr w:type="spellStart"/>
      <w:r>
        <w:t>RCoG</w:t>
      </w:r>
      <w:proofErr w:type="spellEnd"/>
      <w:r>
        <w:t xml:space="preserve"> has some great </w:t>
      </w:r>
      <w:hyperlink r:id="rId7">
        <w:r>
          <w:rPr>
            <w:color w:val="1155CC"/>
            <w:u w:val="single" w:color="1155CC"/>
          </w:rPr>
          <w:t>resources</w:t>
        </w:r>
      </w:hyperlink>
      <w:hyperlink r:id="rId8">
        <w:r>
          <w:t xml:space="preserve"> </w:t>
        </w:r>
      </w:hyperlink>
      <w:r>
        <w:t xml:space="preserve">for this.  </w:t>
      </w:r>
    </w:p>
    <w:p w14:paraId="1E59DD80" w14:textId="77777777" w:rsidR="005105FB" w:rsidRDefault="008568BF">
      <w:pPr>
        <w:numPr>
          <w:ilvl w:val="0"/>
          <w:numId w:val="1"/>
        </w:numPr>
        <w:ind w:hanging="360"/>
      </w:pPr>
      <w:r>
        <w:t>A brief check-in on how people feel (</w:t>
      </w:r>
      <w:proofErr w:type="spellStart"/>
      <w:r>
        <w:t>eg.</w:t>
      </w:r>
      <w:proofErr w:type="spellEnd"/>
      <w:r>
        <w:t xml:space="preserve"> 1-10) can be a useful means of normalising expression, as well as a barometer of who might need extra support over a shift.  </w:t>
      </w:r>
    </w:p>
    <w:p w14:paraId="78932C3F" w14:textId="77777777" w:rsidR="005105FB" w:rsidRDefault="008568BF">
      <w:pPr>
        <w:numPr>
          <w:ilvl w:val="0"/>
          <w:numId w:val="1"/>
        </w:numPr>
        <w:ind w:hanging="360"/>
      </w:pPr>
      <w:r>
        <w:rPr>
          <w:b/>
        </w:rPr>
        <w:t xml:space="preserve">Food </w:t>
      </w:r>
      <w:r>
        <w:t xml:space="preserve">is a key ritual/social bonding tool, releasing endorphins and signalling social care. </w:t>
      </w:r>
      <w:r>
        <w:rPr>
          <w:b/>
        </w:rPr>
        <w:t xml:space="preserve"> </w:t>
      </w:r>
    </w:p>
    <w:p w14:paraId="4115684B" w14:textId="77777777" w:rsidR="005105FB" w:rsidRDefault="008568BF">
      <w:pPr>
        <w:numPr>
          <w:ilvl w:val="0"/>
          <w:numId w:val="1"/>
        </w:numPr>
        <w:ind w:hanging="360"/>
      </w:pPr>
      <w:r>
        <w:t xml:space="preserve">Rituals like food can be markers of inclusion </w:t>
      </w:r>
      <w:r>
        <w:rPr>
          <w:i/>
        </w:rPr>
        <w:t xml:space="preserve">and </w:t>
      </w:r>
      <w:r>
        <w:t xml:space="preserve">exclusion - it is vital that any ritual is fully inclusive to avoid exacerbating differences.  </w:t>
      </w:r>
    </w:p>
    <w:p w14:paraId="6D4EE560" w14:textId="77777777" w:rsidR="005105FB" w:rsidRDefault="008568BF">
      <w:pPr>
        <w:numPr>
          <w:ilvl w:val="0"/>
          <w:numId w:val="1"/>
        </w:numPr>
        <w:spacing w:after="2"/>
        <w:ind w:hanging="360"/>
      </w:pPr>
      <w:r>
        <w:rPr>
          <w:b/>
        </w:rPr>
        <w:t xml:space="preserve">Learning </w:t>
      </w:r>
      <w:r>
        <w:t xml:space="preserve">rituals normalise challenge and speaking up. For example, hot </w:t>
      </w:r>
      <w:r>
        <w:t xml:space="preserve">debriefs, or consistently asking the simple question: ‘How did we do?’ </w:t>
      </w:r>
      <w:r>
        <w:rPr>
          <w:b/>
        </w:rPr>
        <w:t xml:space="preserve"> </w:t>
      </w:r>
    </w:p>
    <w:p w14:paraId="06C295CE" w14:textId="77777777" w:rsidR="005105FB" w:rsidRDefault="008568BF">
      <w:pPr>
        <w:spacing w:after="163" w:line="259" w:lineRule="auto"/>
        <w:ind w:left="0" w:firstLine="0"/>
      </w:pPr>
      <w:r>
        <w:t xml:space="preserve"> </w:t>
      </w:r>
    </w:p>
    <w:p w14:paraId="71F9B21C" w14:textId="77777777" w:rsidR="005105FB" w:rsidRDefault="008568BF">
      <w:pPr>
        <w:pStyle w:val="Heading1"/>
        <w:ind w:left="-5"/>
      </w:pPr>
      <w:r>
        <w:t xml:space="preserve">Exercises </w:t>
      </w:r>
    </w:p>
    <w:p w14:paraId="1332D7CE" w14:textId="05DC243E" w:rsidR="005105FB" w:rsidRDefault="008568BF">
      <w:pPr>
        <w:spacing w:after="55" w:line="259" w:lineRule="auto"/>
        <w:ind w:left="0" w:firstLine="0"/>
      </w:pPr>
      <w:r>
        <w:t xml:space="preserve"> </w:t>
      </w:r>
    </w:p>
    <w:p w14:paraId="208DC896" w14:textId="77777777" w:rsidR="005105FB" w:rsidRDefault="008568BF">
      <w:pPr>
        <w:numPr>
          <w:ilvl w:val="0"/>
          <w:numId w:val="2"/>
        </w:numPr>
        <w:ind w:hanging="360"/>
      </w:pPr>
      <w:r>
        <w:t xml:space="preserve">What rituals already exist in your work that create values, norms, inclusion, exclusion or bonding? Might they be changed to work in favour of a stronger escalation culture?  </w:t>
      </w:r>
    </w:p>
    <w:p w14:paraId="7A54F8A8" w14:textId="77777777" w:rsidR="005105FB" w:rsidRDefault="008568BF">
      <w:pPr>
        <w:spacing w:after="52" w:line="259" w:lineRule="auto"/>
        <w:ind w:left="0" w:firstLine="0"/>
      </w:pPr>
      <w:r>
        <w:t xml:space="preserve"> </w:t>
      </w:r>
    </w:p>
    <w:p w14:paraId="28D440E4" w14:textId="77777777" w:rsidR="005105FB" w:rsidRDefault="008568BF">
      <w:pPr>
        <w:numPr>
          <w:ilvl w:val="0"/>
          <w:numId w:val="2"/>
        </w:numPr>
        <w:ind w:hanging="360"/>
      </w:pPr>
      <w:r>
        <w:t xml:space="preserve">What new rituals might work for you and your team? </w:t>
      </w:r>
    </w:p>
    <w:p w14:paraId="71CA280B" w14:textId="77777777" w:rsidR="005105FB" w:rsidRDefault="008568BF">
      <w:pPr>
        <w:spacing w:after="52" w:line="259" w:lineRule="auto"/>
        <w:ind w:left="720" w:firstLine="0"/>
      </w:pPr>
      <w:r>
        <w:t xml:space="preserve"> </w:t>
      </w:r>
    </w:p>
    <w:p w14:paraId="736F1731" w14:textId="77777777" w:rsidR="005105FB" w:rsidRDefault="008568BF">
      <w:pPr>
        <w:numPr>
          <w:ilvl w:val="0"/>
          <w:numId w:val="2"/>
        </w:numPr>
        <w:spacing w:after="138"/>
        <w:ind w:hanging="360"/>
      </w:pPr>
      <w:r>
        <w:t xml:space="preserve">Test these rituals. Bear in mind that there is usually resistance to begin with - change is inherently uncomfortable. Whilst you need to listen to that resistance to see if adaptation is needed, persevering for habit formation is the real test of whether it works or not.  </w:t>
      </w:r>
    </w:p>
    <w:p w14:paraId="45D77D8F" w14:textId="1930598F" w:rsidR="005105FB" w:rsidRDefault="008568BF" w:rsidP="00631EE7">
      <w:pPr>
        <w:spacing w:after="93" w:line="259" w:lineRule="auto"/>
        <w:ind w:left="720" w:firstLine="0"/>
      </w:pPr>
      <w:r>
        <w:t xml:space="preserve"> </w:t>
      </w:r>
      <w:r>
        <w:rPr>
          <w:b/>
          <w:sz w:val="32"/>
        </w:rPr>
        <w:t xml:space="preserve"> </w:t>
      </w:r>
    </w:p>
    <w:p w14:paraId="76F8AC37" w14:textId="77777777" w:rsidR="005105FB" w:rsidRDefault="008568BF">
      <w:pPr>
        <w:spacing w:after="0" w:line="259" w:lineRule="auto"/>
        <w:ind w:left="-5" w:hanging="10"/>
      </w:pPr>
      <w:r>
        <w:rPr>
          <w:b/>
          <w:sz w:val="32"/>
        </w:rPr>
        <w:t>Resources and links</w:t>
      </w:r>
      <w:r>
        <w:rPr>
          <w:sz w:val="32"/>
        </w:rPr>
        <w:t xml:space="preserve">: </w:t>
      </w:r>
      <w:r>
        <w:t xml:space="preserve"> </w:t>
      </w:r>
    </w:p>
    <w:p w14:paraId="3CF3AEF2" w14:textId="77777777" w:rsidR="005105FB" w:rsidRDefault="008568BF">
      <w:pPr>
        <w:spacing w:after="52" w:line="259" w:lineRule="auto"/>
        <w:ind w:left="0" w:firstLine="0"/>
      </w:pPr>
      <w:r>
        <w:t xml:space="preserve"> </w:t>
      </w:r>
    </w:p>
    <w:p w14:paraId="6B8B4238" w14:textId="77777777" w:rsidR="005105FB" w:rsidRDefault="008568BF">
      <w:pPr>
        <w:spacing w:after="0" w:line="307" w:lineRule="auto"/>
        <w:ind w:left="-5" w:hanging="10"/>
      </w:pPr>
      <w:hyperlink r:id="rId9">
        <w:r>
          <w:rPr>
            <w:color w:val="1155CC"/>
            <w:u w:val="single" w:color="1155CC"/>
          </w:rPr>
          <w:t>https://www.sciencedirect.com/science/article/abs/pii/S0260691720314209</w:t>
        </w:r>
      </w:hyperlink>
      <w:hyperlink r:id="rId10">
        <w:r>
          <w:t xml:space="preserve"> </w:t>
        </w:r>
      </w:hyperlink>
      <w:r>
        <w:t xml:space="preserve"> </w:t>
      </w:r>
      <w:hyperlink r:id="rId11">
        <w:r>
          <w:rPr>
            <w:color w:val="1155CC"/>
            <w:u w:val="single" w:color="1155CC"/>
          </w:rPr>
          <w:t>https://pmc.ncbi.nlm.nih.gov/articles/PMC11025575/</w:t>
        </w:r>
      </w:hyperlink>
      <w:hyperlink r:id="rId12">
        <w:r>
          <w:t xml:space="preserve"> </w:t>
        </w:r>
      </w:hyperlink>
      <w:r>
        <w:t xml:space="preserve"> </w:t>
      </w:r>
    </w:p>
    <w:p w14:paraId="2FCD7A43" w14:textId="77777777" w:rsidR="00631EE7" w:rsidRDefault="008568BF" w:rsidP="00631EE7">
      <w:pPr>
        <w:spacing w:after="2"/>
        <w:ind w:left="-15" w:firstLine="0"/>
      </w:pPr>
      <w:r>
        <w:t>Two small-</w:t>
      </w:r>
      <w:r>
        <w:t xml:space="preserve">scale studies on the ‘alienation’ that occurs when senior medical staff fail to </w:t>
      </w:r>
      <w:r>
        <w:t xml:space="preserve">greet their teams.  </w:t>
      </w:r>
      <w:hyperlink r:id="rId13">
        <w:r>
          <w:rPr>
            <w:color w:val="1155CC"/>
            <w:u w:val="single" w:color="1155CC"/>
          </w:rPr>
          <w:t>https://www.sciencedirect.com/science/article/abs/pii/S0749597821000637</w:t>
        </w:r>
      </w:hyperlink>
      <w:hyperlink r:id="rId14">
        <w:r>
          <w:t xml:space="preserve"> </w:t>
        </w:r>
      </w:hyperlink>
      <w:r>
        <w:t xml:space="preserve">Overview of the impact of social rituals at work  </w:t>
      </w:r>
    </w:p>
    <w:p w14:paraId="18B101FF" w14:textId="172E56C9" w:rsidR="005105FB" w:rsidRDefault="005105FB" w:rsidP="00631EE7">
      <w:pPr>
        <w:spacing w:after="2"/>
        <w:ind w:left="-15" w:firstLine="0"/>
      </w:pPr>
    </w:p>
    <w:p w14:paraId="5D6179EB" w14:textId="68BD7221" w:rsidR="005105FB" w:rsidRDefault="008568BF" w:rsidP="00631EE7">
      <w:pPr>
        <w:spacing w:after="0" w:line="307" w:lineRule="auto"/>
        <w:ind w:left="-5" w:hanging="10"/>
      </w:pPr>
      <w:hyperlink r:id="rId15">
        <w:r>
          <w:rPr>
            <w:color w:val="1155CC"/>
            <w:u w:val="single" w:color="1155CC"/>
          </w:rPr>
          <w:t>https://www</w:t>
        </w:r>
      </w:hyperlink>
      <w:hyperlink r:id="rId16">
        <w:r>
          <w:rPr>
            <w:color w:val="1155CC"/>
            <w:u w:val="single" w:color="1155CC"/>
          </w:rPr>
          <w:t>-</w:t>
        </w:r>
      </w:hyperlink>
      <w:hyperlink r:id="rId17">
        <w:r>
          <w:rPr>
            <w:color w:val="1155CC"/>
            <w:u w:val="single" w:color="1155CC"/>
          </w:rPr>
          <w:t>preview.rcog.org.uk/about</w:t>
        </w:r>
      </w:hyperlink>
      <w:hyperlink r:id="rId18">
        <w:r>
          <w:rPr>
            <w:color w:val="1155CC"/>
            <w:u w:val="single" w:color="1155CC"/>
          </w:rPr>
          <w:t>-</w:t>
        </w:r>
      </w:hyperlink>
      <w:hyperlink r:id="rId19">
        <w:r>
          <w:rPr>
            <w:color w:val="1155CC"/>
            <w:u w:val="single" w:color="1155CC"/>
          </w:rPr>
          <w:t>us/quality</w:t>
        </w:r>
      </w:hyperlink>
      <w:hyperlink r:id="rId20">
        <w:r>
          <w:rPr>
            <w:color w:val="1155CC"/>
            <w:u w:val="single" w:color="1155CC"/>
          </w:rPr>
          <w:t>-</w:t>
        </w:r>
      </w:hyperlink>
      <w:hyperlink r:id="rId21">
        <w:r>
          <w:rPr>
            <w:color w:val="1155CC"/>
            <w:u w:val="single" w:color="1155CC"/>
          </w:rPr>
          <w:t>improvement</w:t>
        </w:r>
      </w:hyperlink>
      <w:hyperlink r:id="rId22">
        <w:r>
          <w:rPr>
            <w:color w:val="1155CC"/>
            <w:u w:val="single" w:color="1155CC"/>
          </w:rPr>
          <w:t>-</w:t>
        </w:r>
      </w:hyperlink>
      <w:hyperlink r:id="rId23">
        <w:r>
          <w:rPr>
            <w:color w:val="1155CC"/>
            <w:u w:val="single" w:color="1155CC"/>
          </w:rPr>
          <w:t>clinical</w:t>
        </w:r>
      </w:hyperlink>
      <w:hyperlink r:id="rId24">
        <w:r>
          <w:rPr>
            <w:color w:val="1155CC"/>
            <w:u w:val="single" w:color="1155CC"/>
          </w:rPr>
          <w:t>-</w:t>
        </w:r>
      </w:hyperlink>
      <w:hyperlink r:id="rId25">
        <w:r>
          <w:rPr>
            <w:color w:val="1155CC"/>
            <w:u w:val="single" w:color="1155CC"/>
          </w:rPr>
          <w:t>audit</w:t>
        </w:r>
      </w:hyperlink>
      <w:hyperlink r:id="rId26">
        <w:r>
          <w:rPr>
            <w:color w:val="1155CC"/>
            <w:u w:val="single" w:color="1155CC"/>
          </w:rPr>
          <w:t>-</w:t>
        </w:r>
      </w:hyperlink>
      <w:hyperlink r:id="rId27">
        <w:r>
          <w:rPr>
            <w:color w:val="1155CC"/>
            <w:u w:val="single" w:color="1155CC"/>
          </w:rPr>
          <w:t>and</w:t>
        </w:r>
      </w:hyperlink>
      <w:hyperlink r:id="rId28"/>
      <w:hyperlink r:id="rId29">
        <w:r>
          <w:rPr>
            <w:color w:val="1155CC"/>
            <w:u w:val="single" w:color="1155CC"/>
          </w:rPr>
          <w:t>research</w:t>
        </w:r>
      </w:hyperlink>
      <w:hyperlink r:id="rId30">
        <w:r>
          <w:rPr>
            <w:color w:val="1155CC"/>
            <w:u w:val="single" w:color="1155CC"/>
          </w:rPr>
          <w:t>-</w:t>
        </w:r>
      </w:hyperlink>
      <w:hyperlink r:id="rId31">
        <w:r>
          <w:rPr>
            <w:color w:val="1155CC"/>
            <w:u w:val="single" w:color="1155CC"/>
          </w:rPr>
          <w:t>projects/each</w:t>
        </w:r>
      </w:hyperlink>
      <w:hyperlink r:id="rId32">
        <w:r>
          <w:rPr>
            <w:color w:val="1155CC"/>
            <w:u w:val="single" w:color="1155CC"/>
          </w:rPr>
          <w:t>-</w:t>
        </w:r>
      </w:hyperlink>
      <w:hyperlink r:id="rId33">
        <w:r>
          <w:rPr>
            <w:color w:val="1155CC"/>
            <w:u w:val="single" w:color="1155CC"/>
          </w:rPr>
          <w:t>baby</w:t>
        </w:r>
      </w:hyperlink>
      <w:hyperlink r:id="rId34">
        <w:r>
          <w:rPr>
            <w:color w:val="1155CC"/>
            <w:u w:val="single" w:color="1155CC"/>
          </w:rPr>
          <w:t>-</w:t>
        </w:r>
      </w:hyperlink>
      <w:hyperlink r:id="rId35">
        <w:r>
          <w:rPr>
            <w:color w:val="1155CC"/>
            <w:u w:val="single" w:color="1155CC"/>
          </w:rPr>
          <w:t>counts</w:t>
        </w:r>
      </w:hyperlink>
      <w:hyperlink r:id="rId36">
        <w:r>
          <w:rPr>
            <w:color w:val="1155CC"/>
            <w:u w:val="single" w:color="1155CC"/>
          </w:rPr>
          <w:t>-</w:t>
        </w:r>
      </w:hyperlink>
      <w:hyperlink r:id="rId37">
        <w:r>
          <w:rPr>
            <w:color w:val="1155CC"/>
            <w:u w:val="single" w:color="1155CC"/>
          </w:rPr>
          <w:t>learn</w:t>
        </w:r>
      </w:hyperlink>
      <w:hyperlink r:id="rId38">
        <w:r>
          <w:rPr>
            <w:color w:val="1155CC"/>
            <w:u w:val="single" w:color="1155CC"/>
          </w:rPr>
          <w:t>-</w:t>
        </w:r>
      </w:hyperlink>
      <w:hyperlink r:id="rId39">
        <w:r>
          <w:rPr>
            <w:color w:val="1155CC"/>
            <w:u w:val="single" w:color="1155CC"/>
          </w:rPr>
          <w:t>support/escalation</w:t>
        </w:r>
      </w:hyperlink>
      <w:hyperlink r:id="rId40">
        <w:r>
          <w:rPr>
            <w:color w:val="1155CC"/>
            <w:u w:val="single" w:color="1155CC"/>
          </w:rPr>
          <w:t>-</w:t>
        </w:r>
      </w:hyperlink>
      <w:hyperlink r:id="rId41">
        <w:r>
          <w:rPr>
            <w:color w:val="1155CC"/>
            <w:u w:val="single" w:color="1155CC"/>
          </w:rPr>
          <w:t>toolkit/team</w:t>
        </w:r>
      </w:hyperlink>
      <w:hyperlink r:id="rId42">
        <w:r>
          <w:rPr>
            <w:color w:val="1155CC"/>
            <w:u w:val="single" w:color="1155CC"/>
          </w:rPr>
          <w:t>-</w:t>
        </w:r>
      </w:hyperlink>
      <w:hyperlink r:id="rId43">
        <w:r>
          <w:rPr>
            <w:color w:val="1155CC"/>
            <w:u w:val="single" w:color="1155CC"/>
          </w:rPr>
          <w:t>of</w:t>
        </w:r>
      </w:hyperlink>
      <w:hyperlink r:id="rId44">
        <w:r>
          <w:rPr>
            <w:color w:val="1155CC"/>
            <w:u w:val="single" w:color="1155CC"/>
          </w:rPr>
          <w:t>-</w:t>
        </w:r>
      </w:hyperlink>
      <w:hyperlink r:id="rId45">
        <w:r>
          <w:rPr>
            <w:color w:val="1155CC"/>
            <w:u w:val="single" w:color="1155CC"/>
          </w:rPr>
          <w:t>the</w:t>
        </w:r>
      </w:hyperlink>
      <w:hyperlink r:id="rId46">
        <w:r>
          <w:rPr>
            <w:color w:val="1155CC"/>
            <w:u w:val="single" w:color="1155CC"/>
          </w:rPr>
          <w:t>-</w:t>
        </w:r>
      </w:hyperlink>
      <w:hyperlink r:id="rId47">
        <w:r>
          <w:rPr>
            <w:color w:val="1155CC"/>
            <w:u w:val="single" w:color="1155CC"/>
          </w:rPr>
          <w:t>shift/</w:t>
        </w:r>
      </w:hyperlink>
      <w:hyperlink r:id="rId48">
        <w:r>
          <w:t xml:space="preserve"> </w:t>
        </w:r>
      </w:hyperlink>
      <w:r>
        <w:t xml:space="preserve"> Team of the Shift resource  </w:t>
      </w:r>
    </w:p>
    <w:sectPr w:rsidR="005105FB">
      <w:headerReference w:type="default" r:id="rId49"/>
      <w:pgSz w:w="11906" w:h="16838"/>
      <w:pgMar w:top="1507" w:right="1496" w:bottom="152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84E24" w14:textId="77777777" w:rsidR="008568BF" w:rsidRDefault="008568BF" w:rsidP="00631EE7">
      <w:pPr>
        <w:spacing w:after="0" w:line="240" w:lineRule="auto"/>
      </w:pPr>
      <w:r>
        <w:separator/>
      </w:r>
    </w:p>
  </w:endnote>
  <w:endnote w:type="continuationSeparator" w:id="0">
    <w:p w14:paraId="4122A6C3" w14:textId="77777777" w:rsidR="008568BF" w:rsidRDefault="008568BF" w:rsidP="00631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D4368" w14:textId="77777777" w:rsidR="008568BF" w:rsidRDefault="008568BF" w:rsidP="00631EE7">
      <w:pPr>
        <w:spacing w:after="0" w:line="240" w:lineRule="auto"/>
      </w:pPr>
      <w:r>
        <w:separator/>
      </w:r>
    </w:p>
  </w:footnote>
  <w:footnote w:type="continuationSeparator" w:id="0">
    <w:p w14:paraId="1B9B4071" w14:textId="77777777" w:rsidR="008568BF" w:rsidRDefault="008568BF" w:rsidP="00631E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6B685" w14:textId="09E6FB08" w:rsidR="00631EE7" w:rsidRDefault="00631EE7" w:rsidP="00631EE7">
    <w:pPr>
      <w:pStyle w:val="Header"/>
    </w:pPr>
    <w:r>
      <w:rPr>
        <w:noProof/>
      </w:rPr>
      <mc:AlternateContent>
        <mc:Choice Requires="wps">
          <w:drawing>
            <wp:anchor distT="0" distB="0" distL="114300" distR="114300" simplePos="0" relativeHeight="251659264" behindDoc="0" locked="0" layoutInCell="1" allowOverlap="1" wp14:anchorId="6D991E1B" wp14:editId="7BBD4AFA">
              <wp:simplePos x="0" y="0"/>
              <wp:positionH relativeFrom="column">
                <wp:posOffset>4368800</wp:posOffset>
              </wp:positionH>
              <wp:positionV relativeFrom="paragraph">
                <wp:posOffset>-203835</wp:posOffset>
              </wp:positionV>
              <wp:extent cx="1974850" cy="704850"/>
              <wp:effectExtent l="0" t="0" r="6350" b="0"/>
              <wp:wrapNone/>
              <wp:docPr id="810332310" name="Text Box 5"/>
              <wp:cNvGraphicFramePr/>
              <a:graphic xmlns:a="http://schemas.openxmlformats.org/drawingml/2006/main">
                <a:graphicData uri="http://schemas.microsoft.com/office/word/2010/wordprocessingShape">
                  <wps:wsp>
                    <wps:cNvSpPr txBox="1"/>
                    <wps:spPr>
                      <a:xfrm>
                        <a:off x="0" y="0"/>
                        <a:ext cx="1974850" cy="704850"/>
                      </a:xfrm>
                      <a:prstGeom prst="rect">
                        <a:avLst/>
                      </a:prstGeom>
                      <a:solidFill>
                        <a:schemeClr val="lt1"/>
                      </a:solidFill>
                      <a:ln w="6350">
                        <a:noFill/>
                      </a:ln>
                    </wps:spPr>
                    <wps:txbx>
                      <w:txbxContent>
                        <w:p w14:paraId="218F0185" w14:textId="0FAD7570" w:rsidR="00D11B03" w:rsidRPr="00D11B03" w:rsidRDefault="00631EE7" w:rsidP="00D11B03">
                          <w:pPr>
                            <w:ind w:left="0"/>
                          </w:pPr>
                          <w:r>
                            <w:t>v</w:t>
                          </w:r>
                          <w:r w:rsidR="00D11B03" w:rsidRPr="00D11B03">
                            <w:drawing>
                              <wp:inline distT="0" distB="0" distL="0" distR="0" wp14:anchorId="34184154" wp14:editId="1F54B4EC">
                                <wp:extent cx="1785620" cy="421005"/>
                                <wp:effectExtent l="0" t="0" r="5080" b="0"/>
                                <wp:docPr id="22194980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5620" cy="421005"/>
                                        </a:xfrm>
                                        <a:prstGeom prst="rect">
                                          <a:avLst/>
                                        </a:prstGeom>
                                        <a:noFill/>
                                        <a:ln>
                                          <a:noFill/>
                                        </a:ln>
                                      </pic:spPr>
                                    </pic:pic>
                                  </a:graphicData>
                                </a:graphic>
                              </wp:inline>
                            </w:drawing>
                          </w:r>
                        </w:p>
                        <w:p w14:paraId="445C9DAC" w14:textId="063A022B" w:rsidR="00631EE7" w:rsidRDefault="00631EE7">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D991E1B" id="_x0000_t202" coordsize="21600,21600" o:spt="202" path="m,l,21600r21600,l21600,xe">
              <v:stroke joinstyle="miter"/>
              <v:path gradientshapeok="t" o:connecttype="rect"/>
            </v:shapetype>
            <v:shape id="Text Box 5" o:spid="_x0000_s1026" type="#_x0000_t202" style="position:absolute;left:0;text-align:left;margin-left:344pt;margin-top:-16.05pt;width:155.5pt;height:5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" fillcolor="white [3201]" stroked="f" strokeweight=".5pt">
              <v:textbox>
                <w:txbxContent>
                  <w:p w14:paraId="218F0185" w14:textId="0FAD7570" w:rsidR="00D11B03" w:rsidRPr="00D11B03" w:rsidRDefault="00631EE7" w:rsidP="00D11B03">
                    <w:pPr>
                      <w:ind w:left="0"/>
                    </w:pPr>
                    <w:r>
                      <w:t>v</w:t>
                    </w:r>
                    <w:r w:rsidR="00D11B03" w:rsidRPr="00D11B03">
                      <w:drawing>
                        <wp:inline distT="0" distB="0" distL="0" distR="0" wp14:anchorId="34184154" wp14:editId="1F54B4EC">
                          <wp:extent cx="1785620" cy="421005"/>
                          <wp:effectExtent l="0" t="0" r="5080" b="0"/>
                          <wp:docPr id="22194980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5620" cy="421005"/>
                                  </a:xfrm>
                                  <a:prstGeom prst="rect">
                                    <a:avLst/>
                                  </a:prstGeom>
                                  <a:noFill/>
                                  <a:ln>
                                    <a:noFill/>
                                  </a:ln>
                                </pic:spPr>
                              </pic:pic>
                            </a:graphicData>
                          </a:graphic>
                        </wp:inline>
                      </w:drawing>
                    </w:r>
                  </w:p>
                  <w:p w14:paraId="445C9DAC" w14:textId="063A022B" w:rsidR="00631EE7" w:rsidRDefault="00631EE7">
                    <w:pPr>
                      <w:ind w:left="0"/>
                    </w:pPr>
                  </w:p>
                </w:txbxContent>
              </v:textbox>
            </v:shape>
          </w:pict>
        </mc:Fallback>
      </mc:AlternateContent>
    </w:r>
    <w:r>
      <w:rPr>
        <w:noProof/>
      </w:rPr>
      <mc:AlternateContent>
        <mc:Choice Requires="wpg">
          <w:drawing>
            <wp:anchor distT="0" distB="0" distL="114300" distR="114300" simplePos="0" relativeHeight="251661312" behindDoc="0" locked="0" layoutInCell="1" allowOverlap="1" wp14:anchorId="1B2B8E93" wp14:editId="1E4D0D8B">
              <wp:simplePos x="0" y="0"/>
              <wp:positionH relativeFrom="page">
                <wp:posOffset>317500</wp:posOffset>
              </wp:positionH>
              <wp:positionV relativeFrom="page">
                <wp:posOffset>273050</wp:posOffset>
              </wp:positionV>
              <wp:extent cx="1028700" cy="666598"/>
              <wp:effectExtent l="0" t="0" r="0" b="0"/>
              <wp:wrapTopAndBottom/>
              <wp:docPr id="1221" name="Group 1221"/>
              <wp:cNvGraphicFramePr/>
              <a:graphic xmlns:a="http://schemas.openxmlformats.org/drawingml/2006/main">
                <a:graphicData uri="http://schemas.microsoft.com/office/word/2010/wordprocessingGroup">
                  <wpg:wgp>
                    <wpg:cNvGrpSpPr/>
                    <wpg:grpSpPr>
                      <a:xfrm>
                        <a:off x="0" y="0"/>
                        <a:ext cx="1028700" cy="666598"/>
                        <a:chOff x="0" y="0"/>
                        <a:chExt cx="1028700" cy="666598"/>
                      </a:xfrm>
                    </wpg:grpSpPr>
                    <pic:pic xmlns:pic="http://schemas.openxmlformats.org/drawingml/2006/picture">
                      <pic:nvPicPr>
                        <pic:cNvPr id="126" name="Picture 126"/>
                        <pic:cNvPicPr/>
                      </pic:nvPicPr>
                      <pic:blipFill>
                        <a:blip r:embed="rId2"/>
                        <a:stretch>
                          <a:fillRect/>
                        </a:stretch>
                      </pic:blipFill>
                      <pic:spPr>
                        <a:xfrm>
                          <a:off x="0" y="0"/>
                          <a:ext cx="1028700" cy="666598"/>
                        </a:xfrm>
                        <a:prstGeom prst="rect">
                          <a:avLst/>
                        </a:prstGeom>
                      </pic:spPr>
                    </pic:pic>
                    <wps:wsp>
                      <wps:cNvPr id="129" name="Rectangle 129"/>
                      <wps:cNvSpPr/>
                      <wps:spPr>
                        <a:xfrm>
                          <a:off x="736905" y="315348"/>
                          <a:ext cx="51841" cy="175277"/>
                        </a:xfrm>
                        <a:prstGeom prst="rect">
                          <a:avLst/>
                        </a:prstGeom>
                        <a:ln>
                          <a:noFill/>
                        </a:ln>
                      </wps:spPr>
                      <wps:txbx>
                        <w:txbxContent>
                          <w:p w14:paraId="51CB08AA" w14:textId="77777777" w:rsidR="00631EE7" w:rsidRDefault="00631EE7" w:rsidP="00631EE7">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wps:wsp>
                      <wps:cNvPr id="130" name="Rectangle 130"/>
                      <wps:cNvSpPr/>
                      <wps:spPr>
                        <a:xfrm>
                          <a:off x="736905" y="475369"/>
                          <a:ext cx="51841" cy="175277"/>
                        </a:xfrm>
                        <a:prstGeom prst="rect">
                          <a:avLst/>
                        </a:prstGeom>
                        <a:ln>
                          <a:noFill/>
                        </a:ln>
                      </wps:spPr>
                      <wps:txbx>
                        <w:txbxContent>
                          <w:p w14:paraId="401A5294" w14:textId="77777777" w:rsidR="00631EE7" w:rsidRDefault="00631EE7" w:rsidP="00631EE7">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wpg:wgp>
                </a:graphicData>
              </a:graphic>
            </wp:anchor>
          </w:drawing>
        </mc:Choice>
        <mc:Fallback>
          <w:pict>
            <v:group w14:anchorId="1B2B8E93" id="Group 1221" o:spid="_x0000_s1027" style="position:absolute;left:0;text-align:left;margin-left:25pt;margin-top:21.5pt;width:81pt;height:52.5pt;z-index:251661312;mso-position-horizontal-relative:page;mso-position-vertical-relative:page" coordsize="10287,666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6" o:spid="_x0000_s1028" type="#_x0000_t75" style="position:absolute;width:10287;height:6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">
                <v:imagedata r:id="rId3" o:title=""/>
              </v:shape>
              <v:rect id="Rectangle 129" o:spid="_x0000_s1029" style="position:absolute;left:7369;top:3153;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" filled="f" stroked="f">
                <v:textbox inset="0,0,0,0">
                  <w:txbxContent>
                    <w:p w14:paraId="51CB08AA" w14:textId="77777777" w:rsidR="00631EE7" w:rsidRDefault="00631EE7" w:rsidP="00631EE7">
                      <w:pPr>
                        <w:spacing w:after="160" w:line="259" w:lineRule="auto"/>
                        <w:ind w:left="0" w:firstLine="0"/>
                      </w:pPr>
                      <w:r>
                        <w:rPr>
                          <w:rFonts w:ascii="Arial" w:eastAsia="Arial" w:hAnsi="Arial" w:cs="Arial"/>
                        </w:rPr>
                        <w:t xml:space="preserve"> </w:t>
                      </w:r>
                    </w:p>
                  </w:txbxContent>
                </v:textbox>
              </v:rect>
              <v:rect id="Rectangle 130" o:spid="_x0000_s1030" style="position:absolute;left:7369;top:4753;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yb3xgAAANwAAAAPAAAAZHJzL2Rvd25yZXYueG1sRI9Ba8JA&#10;EIXvBf/DMkJvdaOF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AVcm98YAAADcAAAA&#10;DwAAAAAAAAAAAAAAAAAHAgAAZHJzL2Rvd25yZXYueG1sUEsFBgAAAAADAAMAtwAAAPoCAAAAAA==&#10;" filled="f" stroked="f">
                <v:textbox inset="0,0,0,0">
                  <w:txbxContent>
                    <w:p w14:paraId="401A5294" w14:textId="77777777" w:rsidR="00631EE7" w:rsidRDefault="00631EE7" w:rsidP="00631EE7">
                      <w:pPr>
                        <w:spacing w:after="160" w:line="259" w:lineRule="auto"/>
                        <w:ind w:left="0" w:firstLine="0"/>
                      </w:pPr>
                      <w:r>
                        <w:rPr>
                          <w:rFonts w:ascii="Arial" w:eastAsia="Arial" w:hAnsi="Arial" w:cs="Arial"/>
                        </w:rPr>
                        <w:t xml:space="preserve"> </w:t>
                      </w:r>
                    </w:p>
                  </w:txbxContent>
                </v:textbox>
              </v:rect>
              <w10:wrap type="topAndBottom" anchorx="page" anchory="page"/>
            </v:group>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095C"/>
    <w:multiLevelType w:val="hybridMultilevel"/>
    <w:tmpl w:val="61D24BC2"/>
    <w:lvl w:ilvl="0" w:tplc="DFCAD2F6">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D4E0D9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8A6DB4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14A3FC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76EF65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44AC4E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262021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C226FC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9D2F63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F4D77B5"/>
    <w:multiLevelType w:val="hybridMultilevel"/>
    <w:tmpl w:val="525A9F74"/>
    <w:lvl w:ilvl="0" w:tplc="963E39B8">
      <w:start w:val="1"/>
      <w:numFmt w:val="bullet"/>
      <w:lvlText w:val="-"/>
      <w:lvlJc w:val="left"/>
      <w:pPr>
        <w:ind w:left="7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960B14A">
      <w:start w:val="1"/>
      <w:numFmt w:val="bullet"/>
      <w:lvlText w:val="o"/>
      <w:lvlJc w:val="left"/>
      <w:pPr>
        <w:ind w:left="1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23C66F2">
      <w:start w:val="1"/>
      <w:numFmt w:val="bullet"/>
      <w:lvlText w:val="▪"/>
      <w:lvlJc w:val="left"/>
      <w:pPr>
        <w:ind w:left="2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E6EB70E">
      <w:start w:val="1"/>
      <w:numFmt w:val="bullet"/>
      <w:lvlText w:val="•"/>
      <w:lvlJc w:val="left"/>
      <w:pPr>
        <w:ind w:left="3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318EC0C">
      <w:start w:val="1"/>
      <w:numFmt w:val="bullet"/>
      <w:lvlText w:val="o"/>
      <w:lvlJc w:val="left"/>
      <w:pPr>
        <w:ind w:left="3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3F24AD6">
      <w:start w:val="1"/>
      <w:numFmt w:val="bullet"/>
      <w:lvlText w:val="▪"/>
      <w:lvlJc w:val="left"/>
      <w:pPr>
        <w:ind w:left="45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1ECCE30">
      <w:start w:val="1"/>
      <w:numFmt w:val="bullet"/>
      <w:lvlText w:val="•"/>
      <w:lvlJc w:val="left"/>
      <w:pPr>
        <w:ind w:left="52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EB4F612">
      <w:start w:val="1"/>
      <w:numFmt w:val="bullet"/>
      <w:lvlText w:val="o"/>
      <w:lvlJc w:val="left"/>
      <w:pPr>
        <w:ind w:left="60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2420D20">
      <w:start w:val="1"/>
      <w:numFmt w:val="bullet"/>
      <w:lvlText w:val="▪"/>
      <w:lvlJc w:val="left"/>
      <w:pPr>
        <w:ind w:left="6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969312217">
    <w:abstractNumId w:val="1"/>
  </w:num>
  <w:num w:numId="2" w16cid:durableId="1509520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FB"/>
    <w:rsid w:val="005105FB"/>
    <w:rsid w:val="00631EE7"/>
    <w:rsid w:val="008568BF"/>
    <w:rsid w:val="009A2DBF"/>
    <w:rsid w:val="00D11B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5D808"/>
  <w15:docId w15:val="{C700C31B-0C0D-489C-8F54-382EE0691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 w:line="306" w:lineRule="auto"/>
      <w:ind w:left="730" w:hanging="37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000000"/>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32"/>
    </w:rPr>
  </w:style>
  <w:style w:type="paragraph" w:styleId="Header">
    <w:name w:val="header"/>
    <w:basedOn w:val="Normal"/>
    <w:link w:val="HeaderChar"/>
    <w:uiPriority w:val="99"/>
    <w:unhideWhenUsed/>
    <w:rsid w:val="00631E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1EE7"/>
    <w:rPr>
      <w:rFonts w:ascii="Calibri" w:eastAsia="Calibri" w:hAnsi="Calibri" w:cs="Calibri"/>
      <w:color w:val="000000"/>
      <w:sz w:val="22"/>
    </w:rPr>
  </w:style>
  <w:style w:type="paragraph" w:styleId="Footer">
    <w:name w:val="footer"/>
    <w:basedOn w:val="Normal"/>
    <w:link w:val="FooterChar"/>
    <w:uiPriority w:val="99"/>
    <w:unhideWhenUsed/>
    <w:rsid w:val="00631E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1EE7"/>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sciencedirect.com/science/article/abs/pii/S0749597821000637" TargetMode="External"/><Relationship Id="rId18" Type="http://schemas.openxmlformats.org/officeDocument/2006/relationships/hyperlink" Target="https://www-preview.rcog.org.uk/about-us/quality-improvement-clinical-audit-and-research-projects/each-baby-counts-learn-support/escalation-toolkit/team-of-the-shift/" TargetMode="External"/><Relationship Id="rId26" Type="http://schemas.openxmlformats.org/officeDocument/2006/relationships/hyperlink" Target="https://www-preview.rcog.org.uk/about-us/quality-improvement-clinical-audit-and-research-projects/each-baby-counts-learn-support/escalation-toolkit/team-of-the-shift/" TargetMode="External"/><Relationship Id="rId39" Type="http://schemas.openxmlformats.org/officeDocument/2006/relationships/hyperlink" Target="https://www-preview.rcog.org.uk/about-us/quality-improvement-clinical-audit-and-research-projects/each-baby-counts-learn-support/escalation-toolkit/team-of-the-shift/" TargetMode="External"/><Relationship Id="rId21" Type="http://schemas.openxmlformats.org/officeDocument/2006/relationships/hyperlink" Target="https://www-preview.rcog.org.uk/about-us/quality-improvement-clinical-audit-and-research-projects/each-baby-counts-learn-support/escalation-toolkit/team-of-the-shift/" TargetMode="External"/><Relationship Id="rId34" Type="http://schemas.openxmlformats.org/officeDocument/2006/relationships/hyperlink" Target="https://www-preview.rcog.org.uk/about-us/quality-improvement-clinical-audit-and-research-projects/each-baby-counts-learn-support/escalation-toolkit/team-of-the-shift/" TargetMode="External"/><Relationship Id="rId42" Type="http://schemas.openxmlformats.org/officeDocument/2006/relationships/hyperlink" Target="https://www-preview.rcog.org.uk/about-us/quality-improvement-clinical-audit-and-research-projects/each-baby-counts-learn-support/escalation-toolkit/team-of-the-shift/" TargetMode="External"/><Relationship Id="rId47" Type="http://schemas.openxmlformats.org/officeDocument/2006/relationships/hyperlink" Target="https://www-preview.rcog.org.uk/about-us/quality-improvement-clinical-audit-and-research-projects/each-baby-counts-learn-support/escalation-toolkit/team-of-the-shift/" TargetMode="External"/><Relationship Id="rId50" Type="http://schemas.openxmlformats.org/officeDocument/2006/relationships/fontTable" Target="fontTable.xml"/><Relationship Id="rId7" Type="http://schemas.openxmlformats.org/officeDocument/2006/relationships/hyperlink" Target="https://www-preview.rcog.org.uk/about-us/quality-improvement-clinical-audit-and-research-projects/each-baby-counts-learn-support/escalation-toolkit/team-of-the-shift/" TargetMode="External"/><Relationship Id="rId2" Type="http://schemas.openxmlformats.org/officeDocument/2006/relationships/styles" Target="styles.xml"/><Relationship Id="rId16" Type="http://schemas.openxmlformats.org/officeDocument/2006/relationships/hyperlink" Target="https://www-preview.rcog.org.uk/about-us/quality-improvement-clinical-audit-and-research-projects/each-baby-counts-learn-support/escalation-toolkit/team-of-the-shift/" TargetMode="External"/><Relationship Id="rId29" Type="http://schemas.openxmlformats.org/officeDocument/2006/relationships/hyperlink" Target="https://www-preview.rcog.org.uk/about-us/quality-improvement-clinical-audit-and-research-projects/each-baby-counts-learn-support/escalation-toolkit/team-of-the-shift/" TargetMode="External"/><Relationship Id="rId11" Type="http://schemas.openxmlformats.org/officeDocument/2006/relationships/hyperlink" Target="https://pmc.ncbi.nlm.nih.gov/articles/PMC11025575/" TargetMode="External"/><Relationship Id="rId24" Type="http://schemas.openxmlformats.org/officeDocument/2006/relationships/hyperlink" Target="https://www-preview.rcog.org.uk/about-us/quality-improvement-clinical-audit-and-research-projects/each-baby-counts-learn-support/escalation-toolkit/team-of-the-shift/" TargetMode="External"/><Relationship Id="rId32" Type="http://schemas.openxmlformats.org/officeDocument/2006/relationships/hyperlink" Target="https://www-preview.rcog.org.uk/about-us/quality-improvement-clinical-audit-and-research-projects/each-baby-counts-learn-support/escalation-toolkit/team-of-the-shift/" TargetMode="External"/><Relationship Id="rId37" Type="http://schemas.openxmlformats.org/officeDocument/2006/relationships/hyperlink" Target="https://www-preview.rcog.org.uk/about-us/quality-improvement-clinical-audit-and-research-projects/each-baby-counts-learn-support/escalation-toolkit/team-of-the-shift/" TargetMode="External"/><Relationship Id="rId40" Type="http://schemas.openxmlformats.org/officeDocument/2006/relationships/hyperlink" Target="https://www-preview.rcog.org.uk/about-us/quality-improvement-clinical-audit-and-research-projects/each-baby-counts-learn-support/escalation-toolkit/team-of-the-shift/" TargetMode="External"/><Relationship Id="rId45" Type="http://schemas.openxmlformats.org/officeDocument/2006/relationships/hyperlink" Target="https://www-preview.rcog.org.uk/about-us/quality-improvement-clinical-audit-and-research-projects/each-baby-counts-learn-support/escalation-toolkit/team-of-the-shift/" TargetMode="External"/><Relationship Id="rId5" Type="http://schemas.openxmlformats.org/officeDocument/2006/relationships/footnotes" Target="footnotes.xml"/><Relationship Id="rId15" Type="http://schemas.openxmlformats.org/officeDocument/2006/relationships/hyperlink" Target="https://www-preview.rcog.org.uk/about-us/quality-improvement-clinical-audit-and-research-projects/each-baby-counts-learn-support/escalation-toolkit/team-of-the-shift/" TargetMode="External"/><Relationship Id="rId23" Type="http://schemas.openxmlformats.org/officeDocument/2006/relationships/hyperlink" Target="https://www-preview.rcog.org.uk/about-us/quality-improvement-clinical-audit-and-research-projects/each-baby-counts-learn-support/escalation-toolkit/team-of-the-shift/" TargetMode="External"/><Relationship Id="rId28" Type="http://schemas.openxmlformats.org/officeDocument/2006/relationships/hyperlink" Target="https://www-preview.rcog.org.uk/about-us/quality-improvement-clinical-audit-and-research-projects/each-baby-counts-learn-support/escalation-toolkit/team-of-the-shift/" TargetMode="External"/><Relationship Id="rId36" Type="http://schemas.openxmlformats.org/officeDocument/2006/relationships/hyperlink" Target="https://www-preview.rcog.org.uk/about-us/quality-improvement-clinical-audit-and-research-projects/each-baby-counts-learn-support/escalation-toolkit/team-of-the-shift/" TargetMode="External"/><Relationship Id="rId49" Type="http://schemas.openxmlformats.org/officeDocument/2006/relationships/header" Target="header1.xml"/><Relationship Id="rId10" Type="http://schemas.openxmlformats.org/officeDocument/2006/relationships/hyperlink" Target="https://www.sciencedirect.com/science/article/abs/pii/S0260691720314209" TargetMode="External"/><Relationship Id="rId19" Type="http://schemas.openxmlformats.org/officeDocument/2006/relationships/hyperlink" Target="https://www-preview.rcog.org.uk/about-us/quality-improvement-clinical-audit-and-research-projects/each-baby-counts-learn-support/escalation-toolkit/team-of-the-shift/" TargetMode="External"/><Relationship Id="rId31" Type="http://schemas.openxmlformats.org/officeDocument/2006/relationships/hyperlink" Target="https://www-preview.rcog.org.uk/about-us/quality-improvement-clinical-audit-and-research-projects/each-baby-counts-learn-support/escalation-toolkit/team-of-the-shift/" TargetMode="External"/><Relationship Id="rId44" Type="http://schemas.openxmlformats.org/officeDocument/2006/relationships/hyperlink" Target="https://www-preview.rcog.org.uk/about-us/quality-improvement-clinical-audit-and-research-projects/each-baby-counts-learn-support/escalation-toolkit/team-of-the-shift/" TargetMode="External"/><Relationship Id="rId4" Type="http://schemas.openxmlformats.org/officeDocument/2006/relationships/webSettings" Target="webSettings.xml"/><Relationship Id="rId9" Type="http://schemas.openxmlformats.org/officeDocument/2006/relationships/hyperlink" Target="https://www.sciencedirect.com/science/article/abs/pii/S0260691720314209" TargetMode="External"/><Relationship Id="rId14" Type="http://schemas.openxmlformats.org/officeDocument/2006/relationships/hyperlink" Target="https://www.sciencedirect.com/science/article/abs/pii/S0749597821000637" TargetMode="External"/><Relationship Id="rId22" Type="http://schemas.openxmlformats.org/officeDocument/2006/relationships/hyperlink" Target="https://www-preview.rcog.org.uk/about-us/quality-improvement-clinical-audit-and-research-projects/each-baby-counts-learn-support/escalation-toolkit/team-of-the-shift/" TargetMode="External"/><Relationship Id="rId27" Type="http://schemas.openxmlformats.org/officeDocument/2006/relationships/hyperlink" Target="https://www-preview.rcog.org.uk/about-us/quality-improvement-clinical-audit-and-research-projects/each-baby-counts-learn-support/escalation-toolkit/team-of-the-shift/" TargetMode="External"/><Relationship Id="rId30" Type="http://schemas.openxmlformats.org/officeDocument/2006/relationships/hyperlink" Target="https://www-preview.rcog.org.uk/about-us/quality-improvement-clinical-audit-and-research-projects/each-baby-counts-learn-support/escalation-toolkit/team-of-the-shift/" TargetMode="External"/><Relationship Id="rId35" Type="http://schemas.openxmlformats.org/officeDocument/2006/relationships/hyperlink" Target="https://www-preview.rcog.org.uk/about-us/quality-improvement-clinical-audit-and-research-projects/each-baby-counts-learn-support/escalation-toolkit/team-of-the-shift/" TargetMode="External"/><Relationship Id="rId43" Type="http://schemas.openxmlformats.org/officeDocument/2006/relationships/hyperlink" Target="https://www-preview.rcog.org.uk/about-us/quality-improvement-clinical-audit-and-research-projects/each-baby-counts-learn-support/escalation-toolkit/team-of-the-shift/" TargetMode="External"/><Relationship Id="rId48" Type="http://schemas.openxmlformats.org/officeDocument/2006/relationships/hyperlink" Target="https://www-preview.rcog.org.uk/about-us/quality-improvement-clinical-audit-and-research-projects/each-baby-counts-learn-support/escalation-toolkit/team-of-the-shift/" TargetMode="External"/><Relationship Id="rId8" Type="http://schemas.openxmlformats.org/officeDocument/2006/relationships/hyperlink" Target="https://www-preview.rcog.org.uk/about-us/quality-improvement-clinical-audit-and-research-projects/each-baby-counts-learn-support/escalation-toolkit/team-of-the-shift/"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pmc.ncbi.nlm.nih.gov/articles/PMC11025575/" TargetMode="External"/><Relationship Id="rId17" Type="http://schemas.openxmlformats.org/officeDocument/2006/relationships/hyperlink" Target="https://www-preview.rcog.org.uk/about-us/quality-improvement-clinical-audit-and-research-projects/each-baby-counts-learn-support/escalation-toolkit/team-of-the-shift/" TargetMode="External"/><Relationship Id="rId25" Type="http://schemas.openxmlformats.org/officeDocument/2006/relationships/hyperlink" Target="https://www-preview.rcog.org.uk/about-us/quality-improvement-clinical-audit-and-research-projects/each-baby-counts-learn-support/escalation-toolkit/team-of-the-shift/" TargetMode="External"/><Relationship Id="rId33" Type="http://schemas.openxmlformats.org/officeDocument/2006/relationships/hyperlink" Target="https://www-preview.rcog.org.uk/about-us/quality-improvement-clinical-audit-and-research-projects/each-baby-counts-learn-support/escalation-toolkit/team-of-the-shift/" TargetMode="External"/><Relationship Id="rId38" Type="http://schemas.openxmlformats.org/officeDocument/2006/relationships/hyperlink" Target="https://www-preview.rcog.org.uk/about-us/quality-improvement-clinical-audit-and-research-projects/each-baby-counts-learn-support/escalation-toolkit/team-of-the-shift/" TargetMode="External"/><Relationship Id="rId46" Type="http://schemas.openxmlformats.org/officeDocument/2006/relationships/hyperlink" Target="https://www-preview.rcog.org.uk/about-us/quality-improvement-clinical-audit-and-research-projects/each-baby-counts-learn-support/escalation-toolkit/team-of-the-shift/" TargetMode="External"/><Relationship Id="rId20" Type="http://schemas.openxmlformats.org/officeDocument/2006/relationships/hyperlink" Target="https://www-preview.rcog.org.uk/about-us/quality-improvement-clinical-audit-and-research-projects/each-baby-counts-learn-support/escalation-toolkit/team-of-the-shift/" TargetMode="External"/><Relationship Id="rId41" Type="http://schemas.openxmlformats.org/officeDocument/2006/relationships/hyperlink" Target="https://www-preview.rcog.org.uk/about-us/quality-improvement-clinical-audit-and-research-projects/each-baby-counts-learn-support/escalation-toolkit/team-of-the-shift/"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1361</Words>
  <Characters>7763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Glover</dc:creator>
  <cp:keywords/>
  <cp:lastModifiedBy>Nikki Glover</cp:lastModifiedBy>
  <cp:revision>2</cp:revision>
  <dcterms:created xsi:type="dcterms:W3CDTF">2026-10-20T11:22:00Z</dcterms:created>
  <dcterms:modified xsi:type="dcterms:W3CDTF">2026-10-20T11:22:00Z</dcterms:modified>
</cp:coreProperties>
</file>