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F6D85" w14:textId="77777777" w:rsidR="00C355F6" w:rsidRDefault="00C355F6" w:rsidP="00C355F6">
      <w:pPr>
        <w:pStyle w:val="Heading1"/>
        <w:keepNext w:val="0"/>
        <w:keepLines w:val="0"/>
        <w:spacing w:before="0" w:after="200" w:line="240" w:lineRule="auto"/>
        <w:rPr>
          <w:rFonts w:ascii="Aleo" w:eastAsia="Aleo" w:hAnsi="Aleo" w:cs="Aleo"/>
          <w:b/>
          <w:bCs/>
          <w:color w:val="194871"/>
          <w:sz w:val="44"/>
          <w:szCs w:val="44"/>
        </w:rPr>
      </w:pPr>
      <w:bookmarkStart w:id="0" w:name="_gjdgxs" w:colFirst="0" w:colLast="0"/>
      <w:bookmarkEnd w:id="0"/>
      <w:r>
        <w:rPr>
          <w:rFonts w:ascii="Aleo" w:eastAsia="Aleo" w:hAnsi="Aleo" w:cs="Aleo"/>
          <w:b/>
          <w:bCs/>
          <w:color w:val="194871"/>
          <w:sz w:val="44"/>
          <w:szCs w:val="44"/>
        </w:rPr>
        <w:t>Escalation, Culture, and Leadership</w:t>
      </w:r>
    </w:p>
    <w:p w14:paraId="64695876" w14:textId="77777777" w:rsidR="00C355F6" w:rsidRDefault="00C355F6" w:rsidP="00C355F6">
      <w:pPr>
        <w:rPr>
          <w:rFonts w:ascii="Open Sans" w:eastAsia="Open Sans" w:hAnsi="Open Sans" w:cs="Open Sans"/>
          <w:b/>
          <w:bCs/>
          <w:sz w:val="24"/>
          <w:szCs w:val="24"/>
        </w:rPr>
      </w:pPr>
      <w:r>
        <w:rPr>
          <w:rFonts w:ascii="Open Sans" w:eastAsia="Open Sans" w:hAnsi="Open Sans" w:cs="Open Sans"/>
          <w:b/>
          <w:bCs/>
          <w:sz w:val="32"/>
          <w:szCs w:val="32"/>
        </w:rPr>
        <w:t>Introduction</w:t>
      </w:r>
      <w:r>
        <w:rPr>
          <w:rFonts w:ascii="Open Sans" w:eastAsia="Open Sans" w:hAnsi="Open Sans" w:cs="Open Sans"/>
          <w:b/>
          <w:bCs/>
          <w:sz w:val="24"/>
          <w:szCs w:val="24"/>
        </w:rPr>
        <w:t xml:space="preserve"> </w:t>
      </w:r>
    </w:p>
    <w:p w14:paraId="38739C35" w14:textId="77777777" w:rsidR="00C355F6" w:rsidRDefault="00C355F6" w:rsidP="00C355F6">
      <w:pPr>
        <w:rPr>
          <w:rFonts w:ascii="Open Sans" w:eastAsia="Open Sans" w:hAnsi="Open Sans" w:cs="Open Sans"/>
          <w:b/>
          <w:bCs/>
          <w:sz w:val="24"/>
          <w:szCs w:val="24"/>
        </w:rPr>
      </w:pPr>
    </w:p>
    <w:p w14:paraId="463C61F7" w14:textId="77777777" w:rsidR="00C355F6" w:rsidRDefault="00C355F6" w:rsidP="00C355F6">
      <w:pPr>
        <w:rPr>
          <w:rFonts w:ascii="Open Sans" w:eastAsia="Open Sans" w:hAnsi="Open Sans" w:cs="Open Sans"/>
        </w:rPr>
      </w:pPr>
      <w:r>
        <w:rPr>
          <w:rFonts w:ascii="Open Sans" w:eastAsia="Open Sans" w:hAnsi="Open Sans" w:cs="Open Sans"/>
        </w:rPr>
        <w:t xml:space="preserve">This video series provides leaders with concepts, reflections, and tools to support safe escalation and the roll out and adoption of the new escalation resources in maternity and neonatal care including those in the ABC programme, MEWS and NEWWT2 and Marthas Rule. Studies such as those by O’Neil et al (2021) demonstrate that these tools work best in cultures in which staff members from across hierarchies can communicate openly and freely, feel safe to challenge and voice concerns, and in which escalation is a normalised process. </w:t>
      </w:r>
    </w:p>
    <w:p w14:paraId="158709DD" w14:textId="77777777" w:rsidR="00C355F6" w:rsidRDefault="00C355F6" w:rsidP="00C355F6">
      <w:pPr>
        <w:rPr>
          <w:rFonts w:ascii="Open Sans" w:eastAsia="Open Sans" w:hAnsi="Open Sans" w:cs="Open Sans"/>
        </w:rPr>
      </w:pPr>
    </w:p>
    <w:p w14:paraId="7892218C" w14:textId="77777777" w:rsidR="00C355F6" w:rsidRDefault="00C355F6" w:rsidP="00C355F6">
      <w:pPr>
        <w:rPr>
          <w:rFonts w:ascii="Open Sans" w:eastAsia="Open Sans" w:hAnsi="Open Sans" w:cs="Open Sans"/>
        </w:rPr>
      </w:pPr>
      <w:r>
        <w:rPr>
          <w:rFonts w:ascii="Open Sans" w:eastAsia="Open Sans" w:hAnsi="Open Sans" w:cs="Open Sans"/>
        </w:rPr>
        <w:t xml:space="preserve">As such, the videos are split into 4 sections. </w:t>
      </w:r>
    </w:p>
    <w:p w14:paraId="191DF5E4" w14:textId="77777777" w:rsidR="00C355F6" w:rsidRDefault="00C355F6" w:rsidP="00C355F6">
      <w:pPr>
        <w:numPr>
          <w:ilvl w:val="0"/>
          <w:numId w:val="1"/>
        </w:numPr>
        <w:rPr>
          <w:rFonts w:ascii="Open Sans" w:eastAsia="Open Sans" w:hAnsi="Open Sans" w:cs="Open Sans"/>
        </w:rPr>
      </w:pPr>
      <w:r>
        <w:rPr>
          <w:rFonts w:ascii="Open Sans" w:eastAsia="Open Sans" w:hAnsi="Open Sans" w:cs="Open Sans"/>
        </w:rPr>
        <w:t xml:space="preserve">Exploring the </w:t>
      </w:r>
      <w:r>
        <w:rPr>
          <w:rFonts w:ascii="Open Sans" w:eastAsia="Open Sans" w:hAnsi="Open Sans" w:cs="Open Sans"/>
          <w:b/>
          <w:bCs/>
        </w:rPr>
        <w:t>psychology of power</w:t>
      </w:r>
      <w:r>
        <w:rPr>
          <w:rFonts w:ascii="Open Sans" w:eastAsia="Open Sans" w:hAnsi="Open Sans" w:cs="Open Sans"/>
        </w:rPr>
        <w:t xml:space="preserve"> to ensure leaders create hierarchies that work for escalation. </w:t>
      </w:r>
    </w:p>
    <w:p w14:paraId="2D6EF363" w14:textId="77777777" w:rsidR="00C355F6" w:rsidRDefault="00C355F6" w:rsidP="00C355F6">
      <w:pPr>
        <w:numPr>
          <w:ilvl w:val="0"/>
          <w:numId w:val="1"/>
        </w:numPr>
        <w:rPr>
          <w:rFonts w:ascii="Open Sans" w:eastAsia="Open Sans" w:hAnsi="Open Sans" w:cs="Open Sans"/>
        </w:rPr>
      </w:pPr>
      <w:r>
        <w:rPr>
          <w:rFonts w:ascii="Open Sans" w:eastAsia="Open Sans" w:hAnsi="Open Sans" w:cs="Open Sans"/>
        </w:rPr>
        <w:t xml:space="preserve">Demonstrating tools to support </w:t>
      </w:r>
      <w:r>
        <w:rPr>
          <w:rFonts w:ascii="Open Sans" w:eastAsia="Open Sans" w:hAnsi="Open Sans" w:cs="Open Sans"/>
          <w:b/>
          <w:bCs/>
        </w:rPr>
        <w:t>empowering more voice</w:t>
      </w:r>
      <w:r>
        <w:rPr>
          <w:rFonts w:ascii="Open Sans" w:eastAsia="Open Sans" w:hAnsi="Open Sans" w:cs="Open Sans"/>
        </w:rPr>
        <w:t xml:space="preserve"> from staff. </w:t>
      </w:r>
    </w:p>
    <w:p w14:paraId="147BE25A" w14:textId="77777777" w:rsidR="00C355F6" w:rsidRDefault="00C355F6" w:rsidP="00C355F6">
      <w:pPr>
        <w:numPr>
          <w:ilvl w:val="0"/>
          <w:numId w:val="1"/>
        </w:numPr>
        <w:rPr>
          <w:rFonts w:ascii="Open Sans" w:eastAsia="Open Sans" w:hAnsi="Open Sans" w:cs="Open Sans"/>
        </w:rPr>
      </w:pPr>
      <w:r>
        <w:rPr>
          <w:rFonts w:ascii="Open Sans" w:eastAsia="Open Sans" w:hAnsi="Open Sans" w:cs="Open Sans"/>
        </w:rPr>
        <w:t>Forming</w:t>
      </w:r>
      <w:r>
        <w:rPr>
          <w:rFonts w:ascii="Open Sans" w:eastAsia="Open Sans" w:hAnsi="Open Sans" w:cs="Open Sans"/>
          <w:b/>
          <w:bCs/>
        </w:rPr>
        <w:t xml:space="preserve"> habits and rituals</w:t>
      </w:r>
      <w:r>
        <w:rPr>
          <w:rFonts w:ascii="Open Sans" w:eastAsia="Open Sans" w:hAnsi="Open Sans" w:cs="Open Sans"/>
        </w:rPr>
        <w:t xml:space="preserve"> that normalise the practices and relationships necessary for good escalation. </w:t>
      </w:r>
    </w:p>
    <w:p w14:paraId="6FA751D0" w14:textId="77777777" w:rsidR="00C355F6" w:rsidRDefault="00C355F6" w:rsidP="00C355F6">
      <w:pPr>
        <w:numPr>
          <w:ilvl w:val="0"/>
          <w:numId w:val="1"/>
        </w:numPr>
        <w:rPr>
          <w:rFonts w:ascii="Open Sans" w:eastAsia="Open Sans" w:hAnsi="Open Sans" w:cs="Open Sans"/>
        </w:rPr>
      </w:pPr>
      <w:r>
        <w:rPr>
          <w:rFonts w:ascii="Open Sans" w:eastAsia="Open Sans" w:hAnsi="Open Sans" w:cs="Open Sans"/>
        </w:rPr>
        <w:t xml:space="preserve">How </w:t>
      </w:r>
      <w:r>
        <w:rPr>
          <w:rFonts w:ascii="Open Sans" w:eastAsia="Open Sans" w:hAnsi="Open Sans" w:cs="Open Sans"/>
          <w:b/>
          <w:bCs/>
        </w:rPr>
        <w:t>modelling learning and curiosity</w:t>
      </w:r>
      <w:r>
        <w:rPr>
          <w:rFonts w:ascii="Open Sans" w:eastAsia="Open Sans" w:hAnsi="Open Sans" w:cs="Open Sans"/>
        </w:rPr>
        <w:t xml:space="preserve"> enable staff to make the most out of escalation.</w:t>
      </w:r>
    </w:p>
    <w:p w14:paraId="00FA7E78" w14:textId="77777777" w:rsidR="00C355F6" w:rsidRDefault="00C355F6" w:rsidP="00C355F6">
      <w:pPr>
        <w:rPr>
          <w:rFonts w:ascii="Open Sans" w:eastAsia="Open Sans" w:hAnsi="Open Sans" w:cs="Open Sans"/>
        </w:rPr>
      </w:pPr>
    </w:p>
    <w:p w14:paraId="24D27645" w14:textId="77777777" w:rsidR="00C355F6" w:rsidRDefault="00C355F6" w:rsidP="00C355F6">
      <w:pPr>
        <w:rPr>
          <w:rFonts w:ascii="Open Sans" w:eastAsia="Open Sans" w:hAnsi="Open Sans" w:cs="Open Sans"/>
        </w:rPr>
      </w:pPr>
      <w:r>
        <w:rPr>
          <w:rFonts w:ascii="Open Sans" w:eastAsia="Open Sans" w:hAnsi="Open Sans" w:cs="Open Sans"/>
        </w:rPr>
        <w:t xml:space="preserve">The worksheets have reflection questions and activities for you to try as you go. It can be </w:t>
      </w:r>
      <w:proofErr w:type="gramStart"/>
      <w:r>
        <w:rPr>
          <w:rFonts w:ascii="Open Sans" w:eastAsia="Open Sans" w:hAnsi="Open Sans" w:cs="Open Sans"/>
        </w:rPr>
        <w:t>really useful</w:t>
      </w:r>
      <w:proofErr w:type="gramEnd"/>
      <w:r>
        <w:rPr>
          <w:rFonts w:ascii="Open Sans" w:eastAsia="Open Sans" w:hAnsi="Open Sans" w:cs="Open Sans"/>
        </w:rPr>
        <w:t xml:space="preserve"> to do this with someone else, as it helps reflection, allows for more practice of tools, and can be much more engaging. However, lots can be gained by doing it alone too. </w:t>
      </w:r>
    </w:p>
    <w:p w14:paraId="39100325" w14:textId="77777777" w:rsidR="00C355F6" w:rsidRDefault="00C355F6" w:rsidP="00C355F6">
      <w:pPr>
        <w:rPr>
          <w:rFonts w:ascii="Open Sans" w:eastAsia="Open Sans" w:hAnsi="Open Sans" w:cs="Open Sans"/>
        </w:rPr>
      </w:pPr>
    </w:p>
    <w:p w14:paraId="36556BC2" w14:textId="77777777" w:rsidR="00C355F6" w:rsidRDefault="00C355F6" w:rsidP="00C355F6">
      <w:pPr>
        <w:rPr>
          <w:rFonts w:ascii="Open Sans" w:eastAsia="Open Sans" w:hAnsi="Open Sans" w:cs="Open Sans"/>
        </w:rPr>
      </w:pPr>
      <w:r>
        <w:rPr>
          <w:rFonts w:ascii="Open Sans" w:eastAsia="Open Sans" w:hAnsi="Open Sans" w:cs="Open Sans"/>
        </w:rPr>
        <w:t xml:space="preserve">Each worksheet also includes resources and links to further learning and evidence. Feel free to pick and choose based on whatever you think is useful. You should find plenty to get you thinking and start building a healthy culture where you are. </w:t>
      </w:r>
    </w:p>
    <w:p w14:paraId="0613D463" w14:textId="77777777" w:rsidR="00C355F6" w:rsidRDefault="00C355F6" w:rsidP="00C355F6">
      <w:pPr>
        <w:rPr>
          <w:rFonts w:ascii="Open Sans" w:eastAsia="Open Sans" w:hAnsi="Open Sans" w:cs="Open Sans"/>
        </w:rPr>
      </w:pPr>
    </w:p>
    <w:p w14:paraId="41C78473" w14:textId="77777777" w:rsidR="00C355F6" w:rsidRDefault="00C355F6" w:rsidP="00C355F6">
      <w:pPr>
        <w:rPr>
          <w:rFonts w:ascii="Open Sans" w:eastAsia="Open Sans" w:hAnsi="Open Sans" w:cs="Open Sans"/>
        </w:rPr>
      </w:pPr>
      <w:r>
        <w:rPr>
          <w:rFonts w:ascii="Open Sans" w:eastAsia="Open Sans" w:hAnsi="Open Sans" w:cs="Open Sans"/>
          <w:b/>
          <w:bCs/>
        </w:rPr>
        <w:t>Resources and Links</w:t>
      </w:r>
      <w:r>
        <w:rPr>
          <w:rFonts w:ascii="Open Sans" w:eastAsia="Open Sans" w:hAnsi="Open Sans" w:cs="Open Sans"/>
        </w:rPr>
        <w:t xml:space="preserve">: </w:t>
      </w:r>
    </w:p>
    <w:p w14:paraId="1E31093E" w14:textId="77777777" w:rsidR="00C355F6" w:rsidRDefault="00C355F6" w:rsidP="00C355F6">
      <w:pPr>
        <w:rPr>
          <w:rFonts w:ascii="Open Sans" w:eastAsia="Open Sans" w:hAnsi="Open Sans" w:cs="Open Sans"/>
        </w:rPr>
      </w:pPr>
    </w:p>
    <w:p w14:paraId="5A3C64B7" w14:textId="77777777" w:rsidR="00C355F6" w:rsidRDefault="00C355F6" w:rsidP="00C355F6">
      <w:pPr>
        <w:rPr>
          <w:rFonts w:ascii="Open Sans" w:eastAsia="Open Sans" w:hAnsi="Open Sans" w:cs="Open Sans"/>
          <w:sz w:val="20"/>
          <w:szCs w:val="20"/>
        </w:rPr>
      </w:pPr>
      <w:hyperlink r:id="rId7">
        <w:r>
          <w:rPr>
            <w:rFonts w:ascii="Open Sans" w:eastAsia="Open Sans" w:hAnsi="Open Sans" w:cs="Open Sans"/>
            <w:color w:val="1155CC"/>
            <w:sz w:val="20"/>
            <w:szCs w:val="20"/>
            <w:u w:val="single"/>
          </w:rPr>
          <w:t>https://pubmed.ncbi.nlm.nih.gov/33509099/</w:t>
        </w:r>
      </w:hyperlink>
      <w:r>
        <w:rPr>
          <w:rFonts w:ascii="Open Sans" w:eastAsia="Open Sans" w:hAnsi="Open Sans" w:cs="Open Sans"/>
          <w:sz w:val="20"/>
          <w:szCs w:val="20"/>
        </w:rPr>
        <w:t xml:space="preserve"> O’Neill et al (2021) study on facilitators and barriers to escalation.</w:t>
      </w:r>
    </w:p>
    <w:p w14:paraId="59F0AE79" w14:textId="77777777" w:rsidR="00C355F6" w:rsidRDefault="00C355F6" w:rsidP="00C355F6">
      <w:pPr>
        <w:rPr>
          <w:rFonts w:ascii="Open Sans" w:eastAsia="Open Sans" w:hAnsi="Open Sans" w:cs="Open Sans"/>
          <w:sz w:val="20"/>
          <w:szCs w:val="20"/>
        </w:rPr>
      </w:pPr>
    </w:p>
    <w:p w14:paraId="01624AAD" w14:textId="77777777" w:rsidR="00C355F6" w:rsidRDefault="00C355F6" w:rsidP="00C355F6">
      <w:pPr>
        <w:rPr>
          <w:rFonts w:ascii="Open Sans" w:eastAsia="Open Sans" w:hAnsi="Open Sans" w:cs="Open Sans"/>
          <w:sz w:val="20"/>
          <w:szCs w:val="20"/>
        </w:rPr>
      </w:pPr>
      <w:hyperlink r:id="rId8">
        <w:r>
          <w:rPr>
            <w:rFonts w:ascii="Open Sans" w:eastAsia="Open Sans" w:hAnsi="Open Sans" w:cs="Open Sans"/>
            <w:color w:val="1155CC"/>
            <w:sz w:val="20"/>
            <w:szCs w:val="20"/>
            <w:u w:val="single"/>
          </w:rPr>
          <w:t>https://assets.kingsfund.org.uk/f/256914/x/9ccade5367/leadership_in_health_care_summary_february_2015.pdf</w:t>
        </w:r>
      </w:hyperlink>
      <w:r>
        <w:rPr>
          <w:rFonts w:ascii="Open Sans" w:eastAsia="Open Sans" w:hAnsi="Open Sans" w:cs="Open Sans"/>
          <w:sz w:val="20"/>
          <w:szCs w:val="20"/>
        </w:rPr>
        <w:t xml:space="preserve"> Kings Fund review of Leadership Impact in Health Care </w:t>
      </w:r>
    </w:p>
    <w:p w14:paraId="32D785D9" w14:textId="77777777" w:rsidR="00C355F6" w:rsidRDefault="00C355F6" w:rsidP="00C355F6">
      <w:pPr>
        <w:rPr>
          <w:rFonts w:ascii="Open Sans" w:eastAsia="Open Sans" w:hAnsi="Open Sans" w:cs="Open Sans"/>
          <w:sz w:val="20"/>
          <w:szCs w:val="20"/>
        </w:rPr>
      </w:pPr>
    </w:p>
    <w:p w14:paraId="65518BA2" w14:textId="49FECB10" w:rsidR="007D548B" w:rsidRPr="00C355F6" w:rsidRDefault="00C355F6">
      <w:pPr>
        <w:rPr>
          <w:rFonts w:ascii="Open Sans" w:eastAsia="Open Sans" w:hAnsi="Open Sans" w:cs="Open Sans"/>
          <w:sz w:val="20"/>
          <w:szCs w:val="20"/>
        </w:rPr>
      </w:pPr>
      <w:hyperlink r:id="rId9">
        <w:r>
          <w:rPr>
            <w:rFonts w:ascii="Open Sans" w:eastAsia="Open Sans" w:hAnsi="Open Sans" w:cs="Open Sans"/>
            <w:color w:val="1155CC"/>
            <w:sz w:val="20"/>
            <w:szCs w:val="20"/>
            <w:u w:val="single"/>
          </w:rPr>
          <w:t>https://link.springer.com/article/10.1007/s00431-024-05968-8</w:t>
        </w:r>
      </w:hyperlink>
      <w:r>
        <w:rPr>
          <w:rFonts w:ascii="Open Sans" w:eastAsia="Open Sans" w:hAnsi="Open Sans" w:cs="Open Sans"/>
          <w:sz w:val="20"/>
          <w:szCs w:val="20"/>
        </w:rPr>
        <w:t xml:space="preserve"> Impact of Leadership Interventions on Neonatal Care: a systematic review </w:t>
      </w:r>
    </w:p>
    <w:sectPr w:rsidR="007D548B" w:rsidRPr="00C355F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4E79" w14:textId="77777777" w:rsidR="00390B70" w:rsidRDefault="00390B70" w:rsidP="00C355F6">
      <w:pPr>
        <w:spacing w:line="240" w:lineRule="auto"/>
      </w:pPr>
      <w:r>
        <w:separator/>
      </w:r>
    </w:p>
  </w:endnote>
  <w:endnote w:type="continuationSeparator" w:id="0">
    <w:p w14:paraId="18EC3753" w14:textId="77777777" w:rsidR="00390B70" w:rsidRDefault="00390B70" w:rsidP="00C35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leo">
    <w:charset w:val="00"/>
    <w:family w:val="auto"/>
    <w:pitch w:val="variable"/>
    <w:sig w:usb0="00000007" w:usb1="00000000" w:usb2="00000000" w:usb3="00000000" w:csb0="0000008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2805" w14:textId="77777777" w:rsidR="00C355F6" w:rsidRDefault="00C35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4E87" w14:textId="77777777" w:rsidR="00C355F6" w:rsidRDefault="00C35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1782" w14:textId="77777777" w:rsidR="00C355F6" w:rsidRDefault="00C35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FE115" w14:textId="77777777" w:rsidR="00390B70" w:rsidRDefault="00390B70" w:rsidP="00C355F6">
      <w:pPr>
        <w:spacing w:line="240" w:lineRule="auto"/>
      </w:pPr>
      <w:r>
        <w:separator/>
      </w:r>
    </w:p>
  </w:footnote>
  <w:footnote w:type="continuationSeparator" w:id="0">
    <w:p w14:paraId="67688844" w14:textId="77777777" w:rsidR="00390B70" w:rsidRDefault="00390B70" w:rsidP="00C355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926E" w14:textId="77777777" w:rsidR="00C355F6" w:rsidRDefault="00C35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8B57" w14:textId="796239E0" w:rsidR="00C355F6" w:rsidRDefault="00C355F6" w:rsidP="00C355F6">
    <w:pPr>
      <w:pStyle w:val="Header"/>
    </w:pPr>
    <w:r>
      <w:rPr>
        <w:noProof/>
        <w14:ligatures w14:val="standardContextual"/>
      </w:rPr>
      <mc:AlternateContent>
        <mc:Choice Requires="wps">
          <w:drawing>
            <wp:anchor distT="0" distB="0" distL="114300" distR="114300" simplePos="0" relativeHeight="251660288" behindDoc="0" locked="0" layoutInCell="1" allowOverlap="1" wp14:anchorId="38B958A4" wp14:editId="398A5CF3">
              <wp:simplePos x="0" y="0"/>
              <wp:positionH relativeFrom="column">
                <wp:posOffset>4229100</wp:posOffset>
              </wp:positionH>
              <wp:positionV relativeFrom="paragraph">
                <wp:posOffset>-311150</wp:posOffset>
              </wp:positionV>
              <wp:extent cx="2305050" cy="622300"/>
              <wp:effectExtent l="0" t="0" r="19050" b="25400"/>
              <wp:wrapNone/>
              <wp:docPr id="287818458" name="Text Box 1"/>
              <wp:cNvGraphicFramePr/>
              <a:graphic xmlns:a="http://schemas.openxmlformats.org/drawingml/2006/main">
                <a:graphicData uri="http://schemas.microsoft.com/office/word/2010/wordprocessingShape">
                  <wps:wsp>
                    <wps:cNvSpPr txBox="1"/>
                    <wps:spPr>
                      <a:xfrm>
                        <a:off x="0" y="0"/>
                        <a:ext cx="2305050" cy="622300"/>
                      </a:xfrm>
                      <a:prstGeom prst="rect">
                        <a:avLst/>
                      </a:prstGeom>
                      <a:solidFill>
                        <a:schemeClr val="lt1"/>
                      </a:solidFill>
                      <a:ln w="6350">
                        <a:solidFill>
                          <a:schemeClr val="bg1"/>
                        </a:solidFill>
                      </a:ln>
                    </wps:spPr>
                    <wps:txbx>
                      <w:txbxContent>
                        <w:p w14:paraId="6A2843B4" w14:textId="77777777" w:rsidR="00C355F6" w:rsidRPr="003466EA" w:rsidRDefault="00C355F6" w:rsidP="00C355F6">
                          <w:r w:rsidRPr="003466EA">
                            <w:drawing>
                              <wp:inline distT="0" distB="0" distL="0" distR="0" wp14:anchorId="33F0C2F2" wp14:editId="36739F8C">
                                <wp:extent cx="1842770" cy="434975"/>
                                <wp:effectExtent l="0" t="0" r="5080" b="3175"/>
                                <wp:docPr id="51864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34975"/>
                                        </a:xfrm>
                                        <a:prstGeom prst="rect">
                                          <a:avLst/>
                                        </a:prstGeom>
                                        <a:noFill/>
                                        <a:ln>
                                          <a:noFill/>
                                        </a:ln>
                                      </pic:spPr>
                                    </pic:pic>
                                  </a:graphicData>
                                </a:graphic>
                              </wp:inline>
                            </w:drawing>
                          </w:r>
                        </w:p>
                        <w:p w14:paraId="25BA4521" w14:textId="77777777" w:rsidR="00C355F6" w:rsidRDefault="00C355F6" w:rsidP="00C355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8B958A4" id="_x0000_t202" coordsize="21600,21600" o:spt="202" path="m,l,21600r21600,l21600,xe">
              <v:stroke joinstyle="miter"/>
              <v:path gradientshapeok="t" o:connecttype="rect"/>
            </v:shapetype>
            <v:shape id="Text Box 1" o:spid="_x0000_s1026" type="#_x0000_t202" style="position:absolute;margin-left:333pt;margin-top:-24.5pt;width:181.5pt;height:4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" fillcolor="white [3201]" strokecolor="white [3212]" strokeweight=".5pt">
              <v:textbox>
                <w:txbxContent>
                  <w:p w14:paraId="6A2843B4" w14:textId="77777777" w:rsidR="00C355F6" w:rsidRPr="003466EA" w:rsidRDefault="00C355F6" w:rsidP="00C355F6">
                    <w:r w:rsidRPr="003466EA">
                      <w:drawing>
                        <wp:inline distT="0" distB="0" distL="0" distR="0" wp14:anchorId="33F0C2F2" wp14:editId="36739F8C">
                          <wp:extent cx="1842770" cy="434975"/>
                          <wp:effectExtent l="0" t="0" r="5080" b="3175"/>
                          <wp:docPr id="51864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770" cy="434975"/>
                                  </a:xfrm>
                                  <a:prstGeom prst="rect">
                                    <a:avLst/>
                                  </a:prstGeom>
                                  <a:noFill/>
                                  <a:ln>
                                    <a:noFill/>
                                  </a:ln>
                                </pic:spPr>
                              </pic:pic>
                            </a:graphicData>
                          </a:graphic>
                        </wp:inline>
                      </w:drawing>
                    </w:r>
                  </w:p>
                  <w:p w14:paraId="25BA4521" w14:textId="77777777" w:rsidR="00C355F6" w:rsidRDefault="00C355F6" w:rsidP="00C355F6"/>
                </w:txbxContent>
              </v:textbox>
            </v:shape>
          </w:pict>
        </mc:Fallback>
      </mc:AlternateContent>
    </w:r>
    <w:r>
      <w:rPr>
        <w:noProof/>
      </w:rPr>
      <w:drawing>
        <wp:anchor distT="114300" distB="114300" distL="114300" distR="114300" simplePos="0" relativeHeight="251659264" behindDoc="1" locked="0" layoutInCell="1" hidden="0" allowOverlap="1" wp14:anchorId="0C1CBA29" wp14:editId="451E6F3E">
          <wp:simplePos x="0" y="0"/>
          <wp:positionH relativeFrom="column">
            <wp:posOffset>-736600</wp:posOffset>
          </wp:positionH>
          <wp:positionV relativeFrom="paragraph">
            <wp:posOffset>-286385</wp:posOffset>
          </wp:positionV>
          <wp:extent cx="1028935" cy="666750"/>
          <wp:effectExtent l="0" t="0" r="0" b="0"/>
          <wp:wrapNone/>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028935" cy="666750"/>
                  </a:xfrm>
                  <a:prstGeom prst="rect">
                    <a:avLst/>
                  </a:prstGeom>
                  <a:ln/>
                </pic:spPr>
              </pic:pic>
            </a:graphicData>
          </a:graphic>
        </wp:anchor>
      </w:drawing>
    </w:r>
  </w:p>
  <w:p w14:paraId="06E0AC53" w14:textId="6CB51136" w:rsidR="00C355F6" w:rsidRDefault="00C355F6">
    <w:pPr>
      <w:pStyle w:val="Header"/>
    </w:pPr>
  </w:p>
  <w:p w14:paraId="7384FBA1" w14:textId="77777777" w:rsidR="00C355F6" w:rsidRDefault="00C355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E410" w14:textId="77777777" w:rsidR="00C355F6" w:rsidRDefault="00C35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34E8"/>
    <w:multiLevelType w:val="multilevel"/>
    <w:tmpl w:val="B2643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6709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F6"/>
    <w:rsid w:val="00390B70"/>
    <w:rsid w:val="007D548B"/>
    <w:rsid w:val="009A2DBF"/>
    <w:rsid w:val="00C355F6"/>
    <w:rsid w:val="00F91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BF514C"/>
  <w15:chartTrackingRefBased/>
  <w15:docId w15:val="{1A03B4E0-5853-4ED7-BE74-11DCA752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5F6"/>
    <w:pPr>
      <w:spacing w:after="0" w:line="276" w:lineRule="auto"/>
    </w:pPr>
    <w:rPr>
      <w:rFonts w:ascii="Arial" w:eastAsia="Arial" w:hAnsi="Arial" w:cs="Arial"/>
      <w:kern w:val="0"/>
      <w:sz w:val="22"/>
      <w:szCs w:val="22"/>
      <w:lang w:eastAsia="en-GB"/>
      <w14:ligatures w14:val="none"/>
    </w:rPr>
  </w:style>
  <w:style w:type="paragraph" w:styleId="Heading1">
    <w:name w:val="heading 1"/>
    <w:basedOn w:val="Normal"/>
    <w:next w:val="Normal"/>
    <w:link w:val="Heading1Char"/>
    <w:uiPriority w:val="9"/>
    <w:qFormat/>
    <w:rsid w:val="00C35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5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5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5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5F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5F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5F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5F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5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5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5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5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5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5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5F6"/>
    <w:rPr>
      <w:rFonts w:eastAsiaTheme="majorEastAsia" w:cstheme="majorBidi"/>
      <w:color w:val="272727" w:themeColor="text1" w:themeTint="D8"/>
    </w:rPr>
  </w:style>
  <w:style w:type="paragraph" w:styleId="Title">
    <w:name w:val="Title"/>
    <w:basedOn w:val="Normal"/>
    <w:next w:val="Normal"/>
    <w:link w:val="TitleChar"/>
    <w:uiPriority w:val="10"/>
    <w:qFormat/>
    <w:rsid w:val="00C35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5F6"/>
    <w:pPr>
      <w:spacing w:before="160"/>
      <w:jc w:val="center"/>
    </w:pPr>
    <w:rPr>
      <w:i/>
      <w:iCs/>
      <w:color w:val="404040" w:themeColor="text1" w:themeTint="BF"/>
    </w:rPr>
  </w:style>
  <w:style w:type="character" w:customStyle="1" w:styleId="QuoteChar">
    <w:name w:val="Quote Char"/>
    <w:basedOn w:val="DefaultParagraphFont"/>
    <w:link w:val="Quote"/>
    <w:uiPriority w:val="29"/>
    <w:rsid w:val="00C355F6"/>
    <w:rPr>
      <w:i/>
      <w:iCs/>
      <w:color w:val="404040" w:themeColor="text1" w:themeTint="BF"/>
    </w:rPr>
  </w:style>
  <w:style w:type="paragraph" w:styleId="ListParagraph">
    <w:name w:val="List Paragraph"/>
    <w:basedOn w:val="Normal"/>
    <w:uiPriority w:val="34"/>
    <w:qFormat/>
    <w:rsid w:val="00C355F6"/>
    <w:pPr>
      <w:ind w:left="720"/>
      <w:contextualSpacing/>
    </w:pPr>
  </w:style>
  <w:style w:type="character" w:styleId="IntenseEmphasis">
    <w:name w:val="Intense Emphasis"/>
    <w:basedOn w:val="DefaultParagraphFont"/>
    <w:uiPriority w:val="21"/>
    <w:qFormat/>
    <w:rsid w:val="00C355F6"/>
    <w:rPr>
      <w:i/>
      <w:iCs/>
      <w:color w:val="0F4761" w:themeColor="accent1" w:themeShade="BF"/>
    </w:rPr>
  </w:style>
  <w:style w:type="paragraph" w:styleId="IntenseQuote">
    <w:name w:val="Intense Quote"/>
    <w:basedOn w:val="Normal"/>
    <w:next w:val="Normal"/>
    <w:link w:val="IntenseQuoteChar"/>
    <w:uiPriority w:val="30"/>
    <w:qFormat/>
    <w:rsid w:val="00C35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5F6"/>
    <w:rPr>
      <w:i/>
      <w:iCs/>
      <w:color w:val="0F4761" w:themeColor="accent1" w:themeShade="BF"/>
    </w:rPr>
  </w:style>
  <w:style w:type="character" w:styleId="IntenseReference">
    <w:name w:val="Intense Reference"/>
    <w:basedOn w:val="DefaultParagraphFont"/>
    <w:uiPriority w:val="32"/>
    <w:qFormat/>
    <w:rsid w:val="00C355F6"/>
    <w:rPr>
      <w:b/>
      <w:bCs/>
      <w:smallCaps/>
      <w:color w:val="0F4761" w:themeColor="accent1" w:themeShade="BF"/>
      <w:spacing w:val="5"/>
    </w:rPr>
  </w:style>
  <w:style w:type="paragraph" w:styleId="Header">
    <w:name w:val="header"/>
    <w:basedOn w:val="Normal"/>
    <w:link w:val="HeaderChar"/>
    <w:uiPriority w:val="99"/>
    <w:unhideWhenUsed/>
    <w:rsid w:val="00C355F6"/>
    <w:pPr>
      <w:tabs>
        <w:tab w:val="center" w:pos="4513"/>
        <w:tab w:val="right" w:pos="9026"/>
      </w:tabs>
      <w:spacing w:line="240" w:lineRule="auto"/>
    </w:pPr>
  </w:style>
  <w:style w:type="character" w:customStyle="1" w:styleId="HeaderChar">
    <w:name w:val="Header Char"/>
    <w:basedOn w:val="DefaultParagraphFont"/>
    <w:link w:val="Header"/>
    <w:uiPriority w:val="99"/>
    <w:rsid w:val="00C355F6"/>
    <w:rPr>
      <w:rFonts w:ascii="Arial" w:eastAsia="Arial" w:hAnsi="Arial" w:cs="Arial"/>
      <w:kern w:val="0"/>
      <w:sz w:val="22"/>
      <w:szCs w:val="22"/>
      <w:lang w:eastAsia="en-GB"/>
      <w14:ligatures w14:val="none"/>
    </w:rPr>
  </w:style>
  <w:style w:type="paragraph" w:styleId="Footer">
    <w:name w:val="footer"/>
    <w:basedOn w:val="Normal"/>
    <w:link w:val="FooterChar"/>
    <w:uiPriority w:val="99"/>
    <w:unhideWhenUsed/>
    <w:rsid w:val="00C355F6"/>
    <w:pPr>
      <w:tabs>
        <w:tab w:val="center" w:pos="4513"/>
        <w:tab w:val="right" w:pos="9026"/>
      </w:tabs>
      <w:spacing w:line="240" w:lineRule="auto"/>
    </w:pPr>
  </w:style>
  <w:style w:type="character" w:customStyle="1" w:styleId="FooterChar">
    <w:name w:val="Footer Char"/>
    <w:basedOn w:val="DefaultParagraphFont"/>
    <w:link w:val="Footer"/>
    <w:uiPriority w:val="99"/>
    <w:rsid w:val="00C355F6"/>
    <w:rPr>
      <w:rFonts w:ascii="Arial" w:eastAsia="Arial" w:hAnsi="Arial" w:cs="Arial"/>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kingsfund.org.uk/f/256914/x/9ccade5367/leadership_in_health_care_summary_february_2015.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ubmed.ncbi.nlm.nih.gov/33509099/"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nk.springer.com/article/10.1007/s00431-024-05968-8"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Glover</dc:creator>
  <cp:keywords/>
  <dc:description/>
  <cp:lastModifiedBy>Nikki Glover</cp:lastModifiedBy>
  <cp:revision>1</cp:revision>
  <dcterms:created xsi:type="dcterms:W3CDTF">2026-10-20T11:35:00Z</dcterms:created>
  <dcterms:modified xsi:type="dcterms:W3CDTF">2026-10-20T11:36:00Z</dcterms:modified>
</cp:coreProperties>
</file>