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D3EAB" w14:textId="77777777" w:rsidR="009527A6" w:rsidRDefault="00580B2E">
      <w:pPr>
        <w:spacing w:after="50" w:line="259" w:lineRule="auto"/>
        <w:ind w:left="0" w:firstLine="0"/>
      </w:pPr>
      <w:r>
        <w:rPr>
          <w:b/>
          <w:color w:val="194871"/>
          <w:sz w:val="44"/>
        </w:rPr>
        <w:t xml:space="preserve">Enabling voices, improving listening   </w:t>
      </w:r>
    </w:p>
    <w:p w14:paraId="651A0DD2" w14:textId="77777777" w:rsidR="009527A6" w:rsidRDefault="00580B2E">
      <w:pPr>
        <w:pStyle w:val="Heading1"/>
        <w:ind w:left="-5"/>
      </w:pPr>
      <w:r>
        <w:t xml:space="preserve">Brief Summary  </w:t>
      </w:r>
    </w:p>
    <w:p w14:paraId="33911A1D" w14:textId="77777777" w:rsidR="009527A6" w:rsidRDefault="00580B2E">
      <w:pPr>
        <w:spacing w:after="66" w:line="259" w:lineRule="auto"/>
        <w:ind w:left="0" w:firstLine="0"/>
      </w:pPr>
      <w:r>
        <w:t xml:space="preserve"> </w:t>
      </w:r>
    </w:p>
    <w:p w14:paraId="60A3A8CB" w14:textId="77777777" w:rsidR="009527A6" w:rsidRDefault="00580B2E">
      <w:pPr>
        <w:numPr>
          <w:ilvl w:val="0"/>
          <w:numId w:val="1"/>
        </w:numPr>
        <w:ind w:hanging="360"/>
      </w:pPr>
      <w:r>
        <w:t xml:space="preserve">Being in positions of less power has several psychological effects:  </w:t>
      </w:r>
    </w:p>
    <w:p w14:paraId="018F60EC" w14:textId="77777777" w:rsidR="009527A6" w:rsidRDefault="00580B2E">
      <w:pPr>
        <w:numPr>
          <w:ilvl w:val="0"/>
          <w:numId w:val="1"/>
        </w:numPr>
        <w:ind w:hanging="360"/>
      </w:pPr>
      <w:r>
        <w:t xml:space="preserve">Threat responses are more likely to be triggered. </w:t>
      </w:r>
    </w:p>
    <w:p w14:paraId="7485E3CC" w14:textId="77777777" w:rsidR="009527A6" w:rsidRDefault="00580B2E">
      <w:pPr>
        <w:numPr>
          <w:ilvl w:val="0"/>
          <w:numId w:val="1"/>
        </w:numPr>
        <w:ind w:hanging="360"/>
      </w:pPr>
      <w:r>
        <w:t xml:space="preserve">People can be hyper-vigilant to responses of more powerful individuals.  </w:t>
      </w:r>
    </w:p>
    <w:p w14:paraId="4F80ED70" w14:textId="77777777" w:rsidR="009527A6" w:rsidRDefault="00580B2E">
      <w:pPr>
        <w:numPr>
          <w:ilvl w:val="0"/>
          <w:numId w:val="1"/>
        </w:numPr>
        <w:ind w:hanging="360"/>
      </w:pPr>
      <w:r>
        <w:t xml:space="preserve">People are less likely to express own emotions, feelings, and thoughts. </w:t>
      </w:r>
    </w:p>
    <w:p w14:paraId="2021CF76" w14:textId="77777777" w:rsidR="009527A6" w:rsidRDefault="00580B2E">
      <w:pPr>
        <w:numPr>
          <w:ilvl w:val="0"/>
          <w:numId w:val="1"/>
        </w:numPr>
        <w:ind w:hanging="360"/>
      </w:pPr>
      <w:r>
        <w:t xml:space="preserve">People speak in shorter, less detailed sentences.   </w:t>
      </w:r>
    </w:p>
    <w:p w14:paraId="4C209950" w14:textId="77777777" w:rsidR="009527A6" w:rsidRDefault="00580B2E">
      <w:pPr>
        <w:numPr>
          <w:ilvl w:val="0"/>
          <w:numId w:val="1"/>
        </w:numPr>
        <w:ind w:hanging="360"/>
      </w:pPr>
      <w:r>
        <w:t xml:space="preserve">These are all threats to escalation as they shut down the information flow.  </w:t>
      </w:r>
    </w:p>
    <w:p w14:paraId="19A67BCA" w14:textId="77777777" w:rsidR="009527A6" w:rsidRDefault="00580B2E">
      <w:pPr>
        <w:numPr>
          <w:ilvl w:val="0"/>
          <w:numId w:val="1"/>
        </w:numPr>
        <w:ind w:hanging="360"/>
      </w:pPr>
      <w:r>
        <w:t xml:space="preserve">As such, leaders need to work to avoid these effects and empower people to speak out.  </w:t>
      </w:r>
    </w:p>
    <w:p w14:paraId="22E7B32D" w14:textId="77777777" w:rsidR="009527A6" w:rsidRDefault="00580B2E">
      <w:pPr>
        <w:spacing w:after="66" w:line="259" w:lineRule="auto"/>
        <w:ind w:left="0" w:firstLine="0"/>
      </w:pPr>
      <w:r>
        <w:t xml:space="preserve"> </w:t>
      </w:r>
    </w:p>
    <w:p w14:paraId="2DD18111" w14:textId="77777777" w:rsidR="009527A6" w:rsidRDefault="00580B2E">
      <w:pPr>
        <w:numPr>
          <w:ilvl w:val="0"/>
          <w:numId w:val="1"/>
        </w:numPr>
        <w:ind w:hanging="360"/>
      </w:pPr>
      <w:r>
        <w:rPr>
          <w:b/>
        </w:rPr>
        <w:t>Open the “I’m wrong” door</w:t>
      </w:r>
      <w:r>
        <w:t xml:space="preserve"> for them. The discomfort of challenging, disagreeing, or even engaging someone with power (</w:t>
      </w:r>
      <w:proofErr w:type="spellStart"/>
      <w:r>
        <w:t>eg.</w:t>
      </w:r>
      <w:proofErr w:type="spellEnd"/>
      <w:r>
        <w:t xml:space="preserve"> you) can stop people from speaking up. If you can initiate the challenge, it is much easier for them to do the rest. </w:t>
      </w:r>
      <w:proofErr w:type="spellStart"/>
      <w:r>
        <w:t>eg</w:t>
      </w:r>
      <w:proofErr w:type="spellEnd"/>
      <w:r>
        <w:t xml:space="preserve">: </w:t>
      </w:r>
    </w:p>
    <w:p w14:paraId="59513A19" w14:textId="77777777" w:rsidR="009527A6" w:rsidRDefault="00580B2E">
      <w:pPr>
        <w:numPr>
          <w:ilvl w:val="0"/>
          <w:numId w:val="1"/>
        </w:numPr>
        <w:spacing w:after="59" w:line="259" w:lineRule="auto"/>
        <w:ind w:hanging="360"/>
      </w:pPr>
      <w:r>
        <w:t>‘What am I missing?’</w:t>
      </w:r>
      <w:r>
        <w:t xml:space="preserve"> </w:t>
      </w:r>
    </w:p>
    <w:p w14:paraId="1C2EB184" w14:textId="2CCA664C" w:rsidR="009527A6" w:rsidRDefault="00580B2E">
      <w:pPr>
        <w:numPr>
          <w:ilvl w:val="0"/>
          <w:numId w:val="1"/>
        </w:numPr>
        <w:spacing w:after="59" w:line="259" w:lineRule="auto"/>
        <w:ind w:hanging="360"/>
      </w:pPr>
      <w:r>
        <w:t xml:space="preserve">‘That’s my opinion but I get it wrong sometimes </w:t>
      </w:r>
      <w:r>
        <w:t xml:space="preserve">- </w:t>
      </w:r>
      <w:r>
        <w:t xml:space="preserve">what do you think?’ </w:t>
      </w:r>
      <w:r>
        <w:t xml:space="preserve"> </w:t>
      </w:r>
    </w:p>
    <w:p w14:paraId="465CE607" w14:textId="77777777" w:rsidR="009527A6" w:rsidRDefault="00580B2E">
      <w:pPr>
        <w:numPr>
          <w:ilvl w:val="0"/>
          <w:numId w:val="1"/>
        </w:numPr>
        <w:spacing w:after="59" w:line="259" w:lineRule="auto"/>
        <w:ind w:hanging="360"/>
      </w:pPr>
      <w:r>
        <w:t xml:space="preserve">Asking questions to groups makes it more likely that only the more </w:t>
      </w:r>
      <w:r>
        <w:t xml:space="preserve">confident/powerful individuals speak up. Ask yourself, ‘who in this room has less power?’ and/or ‘who hasn’t spoken up yet?’’ Then </w:t>
      </w:r>
      <w:r>
        <w:rPr>
          <w:b/>
        </w:rPr>
        <w:t>direct questions</w:t>
      </w:r>
      <w:r>
        <w:t xml:space="preserve"> to those individuals.  </w:t>
      </w:r>
    </w:p>
    <w:p w14:paraId="74F1628C" w14:textId="77777777" w:rsidR="009527A6" w:rsidRDefault="00580B2E">
      <w:pPr>
        <w:numPr>
          <w:ilvl w:val="0"/>
          <w:numId w:val="1"/>
        </w:numPr>
        <w:ind w:hanging="360"/>
      </w:pPr>
      <w:r>
        <w:t xml:space="preserve">Use </w:t>
      </w:r>
      <w:r>
        <w:rPr>
          <w:b/>
        </w:rPr>
        <w:t>keyword questions</w:t>
      </w:r>
      <w:r>
        <w:t xml:space="preserve"> to support individuals to </w:t>
      </w:r>
      <w:proofErr w:type="gramStart"/>
      <w:r>
        <w:t>open up</w:t>
      </w:r>
      <w:proofErr w:type="gramEnd"/>
      <w:r>
        <w:t xml:space="preserve">. This involves turning the keywords of whatever someone says into a question. This shows listening and encourages people to </w:t>
      </w:r>
      <w:proofErr w:type="gramStart"/>
      <w:r>
        <w:t>open up</w:t>
      </w:r>
      <w:proofErr w:type="gramEnd"/>
      <w:r>
        <w:t xml:space="preserve">.  </w:t>
      </w:r>
    </w:p>
    <w:p w14:paraId="6B5E840D" w14:textId="77777777" w:rsidR="009527A6" w:rsidRDefault="00580B2E">
      <w:pPr>
        <w:numPr>
          <w:ilvl w:val="0"/>
          <w:numId w:val="1"/>
        </w:numPr>
        <w:ind w:hanging="360"/>
      </w:pPr>
      <w:r>
        <w:rPr>
          <w:b/>
        </w:rPr>
        <w:t xml:space="preserve">Paraphrase and check understanding. </w:t>
      </w:r>
      <w:proofErr w:type="gramStart"/>
      <w:r>
        <w:t>In order to</w:t>
      </w:r>
      <w:proofErr w:type="gramEnd"/>
      <w:r>
        <w:t xml:space="preserve"> avoid assumptions, show people you are listening, and invite further detail, you can repeat back what you have understood someone has said and invite them to correct your understanding.  </w:t>
      </w:r>
    </w:p>
    <w:p w14:paraId="23FCD5D8" w14:textId="77777777" w:rsidR="009527A6" w:rsidRDefault="00580B2E">
      <w:pPr>
        <w:spacing w:after="206" w:line="259" w:lineRule="auto"/>
        <w:ind w:left="0" w:firstLine="0"/>
      </w:pPr>
      <w:r>
        <w:t xml:space="preserve"> </w:t>
      </w:r>
    </w:p>
    <w:p w14:paraId="35A48155" w14:textId="77777777" w:rsidR="009527A6" w:rsidRDefault="00580B2E">
      <w:pPr>
        <w:pStyle w:val="Heading1"/>
        <w:spacing w:after="47"/>
        <w:ind w:left="-5"/>
      </w:pPr>
      <w:r>
        <w:t>Exercises</w:t>
      </w:r>
      <w:r>
        <w:rPr>
          <w:sz w:val="36"/>
        </w:rPr>
        <w:t xml:space="preserve"> </w:t>
      </w:r>
    </w:p>
    <w:p w14:paraId="030266C2" w14:textId="77777777" w:rsidR="009527A6" w:rsidRDefault="00580B2E">
      <w:pPr>
        <w:spacing w:after="0" w:line="259" w:lineRule="auto"/>
        <w:ind w:left="0" w:firstLine="0"/>
      </w:pPr>
      <w:r>
        <w:rPr>
          <w:b/>
          <w:sz w:val="36"/>
        </w:rPr>
        <w:t xml:space="preserve"> </w:t>
      </w:r>
    </w:p>
    <w:p w14:paraId="0E2CE1E4" w14:textId="77777777" w:rsidR="009527A6" w:rsidRDefault="00580B2E">
      <w:pPr>
        <w:numPr>
          <w:ilvl w:val="0"/>
          <w:numId w:val="2"/>
        </w:numPr>
        <w:ind w:hanging="360"/>
      </w:pPr>
      <w:r>
        <w:t xml:space="preserve">What is your response to power? Consider times in your life where you have been around people with more power, and how it changed your behaviour?  </w:t>
      </w:r>
    </w:p>
    <w:p w14:paraId="6AE2B142" w14:textId="77777777" w:rsidR="009527A6" w:rsidRDefault="00580B2E">
      <w:pPr>
        <w:spacing w:after="0" w:line="259" w:lineRule="auto"/>
        <w:ind w:left="0" w:firstLine="0"/>
      </w:pPr>
      <w:r>
        <w:t xml:space="preserve"> </w:t>
      </w:r>
    </w:p>
    <w:p w14:paraId="15B7221F" w14:textId="77777777" w:rsidR="009527A6" w:rsidRDefault="00580B2E">
      <w:pPr>
        <w:numPr>
          <w:ilvl w:val="0"/>
          <w:numId w:val="2"/>
        </w:numPr>
        <w:ind w:hanging="360"/>
      </w:pPr>
      <w:r>
        <w:t xml:space="preserve">Think through your work over the next two days. Who will you encounter that might speak up less? What could you do to support them directly when contributing to escalation decisions?  </w:t>
      </w:r>
    </w:p>
    <w:p w14:paraId="2DA4BD87" w14:textId="77777777" w:rsidR="009527A6" w:rsidRDefault="00580B2E">
      <w:pPr>
        <w:spacing w:after="52" w:line="259" w:lineRule="auto"/>
        <w:ind w:left="1440" w:firstLine="0"/>
      </w:pPr>
      <w:r>
        <w:t xml:space="preserve"> </w:t>
      </w:r>
    </w:p>
    <w:p w14:paraId="2407BBB6" w14:textId="77777777" w:rsidR="009527A6" w:rsidRDefault="00580B2E">
      <w:pPr>
        <w:numPr>
          <w:ilvl w:val="0"/>
          <w:numId w:val="2"/>
        </w:numPr>
        <w:ind w:hanging="360"/>
      </w:pPr>
      <w:r>
        <w:t>Come up with a stock of useful ‘I’m wrong’ door</w:t>
      </w:r>
      <w:r>
        <w:t xml:space="preserve">-openers and test them out. Which ones encourage your teams to say more? </w:t>
      </w:r>
      <w:proofErr w:type="spellStart"/>
      <w:r>
        <w:t>Eg.</w:t>
      </w:r>
      <w:proofErr w:type="spellEnd"/>
      <w:r>
        <w:t xml:space="preserve">  </w:t>
      </w:r>
    </w:p>
    <w:p w14:paraId="57B8FC86" w14:textId="77777777" w:rsidR="009527A6" w:rsidRDefault="00580B2E">
      <w:pPr>
        <w:numPr>
          <w:ilvl w:val="1"/>
          <w:numId w:val="2"/>
        </w:numPr>
        <w:ind w:hanging="360"/>
      </w:pPr>
      <w:r>
        <w:lastRenderedPageBreak/>
        <w:t xml:space="preserve">What am I missing?  </w:t>
      </w:r>
    </w:p>
    <w:p w14:paraId="6EBC7E7D" w14:textId="77777777" w:rsidR="009527A6" w:rsidRDefault="00580B2E">
      <w:pPr>
        <w:numPr>
          <w:ilvl w:val="1"/>
          <w:numId w:val="2"/>
        </w:numPr>
        <w:ind w:hanging="360"/>
      </w:pPr>
      <w:r>
        <w:t xml:space="preserve">What are you seeing that I am not?  </w:t>
      </w:r>
    </w:p>
    <w:p w14:paraId="504D6B22" w14:textId="77777777" w:rsidR="009527A6" w:rsidRDefault="00580B2E">
      <w:pPr>
        <w:numPr>
          <w:ilvl w:val="1"/>
          <w:numId w:val="2"/>
        </w:numPr>
        <w:spacing w:after="59" w:line="259" w:lineRule="auto"/>
        <w:ind w:hanging="360"/>
      </w:pPr>
      <w:r>
        <w:t xml:space="preserve">I’m not 100% confident, what do you think? </w:t>
      </w:r>
      <w:r>
        <w:t xml:space="preserve"> </w:t>
      </w:r>
    </w:p>
    <w:p w14:paraId="4513DC94" w14:textId="77777777" w:rsidR="009527A6" w:rsidRDefault="00580B2E">
      <w:pPr>
        <w:numPr>
          <w:ilvl w:val="1"/>
          <w:numId w:val="2"/>
        </w:numPr>
        <w:spacing w:after="59" w:line="259" w:lineRule="auto"/>
        <w:ind w:hanging="360"/>
      </w:pPr>
      <w:r>
        <w:t xml:space="preserve">What isn’t sitting right about this? </w:t>
      </w:r>
      <w:r>
        <w:t xml:space="preserve"> </w:t>
      </w:r>
    </w:p>
    <w:p w14:paraId="260202D1" w14:textId="77777777" w:rsidR="009527A6" w:rsidRDefault="00580B2E">
      <w:pPr>
        <w:spacing w:after="53" w:line="259" w:lineRule="auto"/>
        <w:ind w:left="0" w:firstLine="0"/>
      </w:pPr>
      <w:r>
        <w:t xml:space="preserve"> </w:t>
      </w:r>
    </w:p>
    <w:p w14:paraId="3632D8BA" w14:textId="77777777" w:rsidR="009527A6" w:rsidRDefault="00580B2E">
      <w:pPr>
        <w:numPr>
          <w:ilvl w:val="0"/>
          <w:numId w:val="2"/>
        </w:numPr>
        <w:ind w:hanging="360"/>
      </w:pPr>
      <w:r>
        <w:t xml:space="preserve">Practice the two listening techniques in different scenarios. How do they work for you?  </w:t>
      </w:r>
    </w:p>
    <w:p w14:paraId="57B13860" w14:textId="77777777" w:rsidR="009527A6" w:rsidRDefault="00580B2E">
      <w:pPr>
        <w:spacing w:after="163" w:line="259" w:lineRule="auto"/>
        <w:ind w:left="0" w:firstLine="0"/>
      </w:pPr>
      <w:r>
        <w:t xml:space="preserve"> </w:t>
      </w:r>
    </w:p>
    <w:p w14:paraId="44CCAECA" w14:textId="77777777" w:rsidR="009527A6" w:rsidRDefault="00580B2E">
      <w:pPr>
        <w:spacing w:after="0" w:line="259" w:lineRule="auto"/>
        <w:ind w:left="-5"/>
      </w:pPr>
      <w:r>
        <w:rPr>
          <w:b/>
          <w:sz w:val="32"/>
        </w:rPr>
        <w:t>Resources and links</w:t>
      </w:r>
      <w:r>
        <w:rPr>
          <w:sz w:val="32"/>
        </w:rPr>
        <w:t xml:space="preserve">:  </w:t>
      </w:r>
    </w:p>
    <w:p w14:paraId="7B5A5525" w14:textId="77777777" w:rsidR="009527A6" w:rsidRDefault="00580B2E">
      <w:pPr>
        <w:spacing w:after="52" w:line="259" w:lineRule="auto"/>
        <w:ind w:left="0" w:firstLine="0"/>
      </w:pPr>
      <w:r>
        <w:t xml:space="preserve"> </w:t>
      </w:r>
    </w:p>
    <w:p w14:paraId="53815D82" w14:textId="77777777" w:rsidR="009527A6" w:rsidRDefault="00580B2E">
      <w:pPr>
        <w:ind w:left="10"/>
      </w:pPr>
      <w:hyperlink r:id="rId7">
        <w:r>
          <w:rPr>
            <w:color w:val="1155CC"/>
            <w:u w:val="single" w:color="1155CC"/>
          </w:rPr>
          <w:t>https://doi.org/10.1037//0022</w:t>
        </w:r>
      </w:hyperlink>
      <w:hyperlink r:id="rId8">
        <w:r>
          <w:rPr>
            <w:color w:val="1155CC"/>
            <w:u w:val="single" w:color="1155CC"/>
          </w:rPr>
          <w:t>-</w:t>
        </w:r>
      </w:hyperlink>
      <w:hyperlink r:id="rId9">
        <w:r>
          <w:rPr>
            <w:color w:val="1155CC"/>
            <w:u w:val="single" w:color="1155CC"/>
          </w:rPr>
          <w:t>3514.83.6.1362</w:t>
        </w:r>
      </w:hyperlink>
      <w:hyperlink r:id="rId10">
        <w:r>
          <w:t xml:space="preserve"> </w:t>
        </w:r>
      </w:hyperlink>
      <w:r>
        <w:t xml:space="preserve">Examining the effects of power on approach and inhibition tendencies.  </w:t>
      </w:r>
    </w:p>
    <w:p w14:paraId="24ED21D0" w14:textId="460131C1" w:rsidR="009527A6" w:rsidRDefault="00580B2E">
      <w:pPr>
        <w:spacing w:after="55" w:line="259" w:lineRule="auto"/>
        <w:ind w:left="0" w:firstLine="0"/>
      </w:pPr>
      <w:r>
        <w:t xml:space="preserve"> </w:t>
      </w:r>
    </w:p>
    <w:p w14:paraId="3836FD62" w14:textId="77777777" w:rsidR="009527A6" w:rsidRDefault="00580B2E">
      <w:pPr>
        <w:spacing w:after="1"/>
        <w:ind w:left="0" w:right="53" w:firstLine="0"/>
        <w:jc w:val="both"/>
      </w:pPr>
      <w:hyperlink r:id="rId11">
        <w:r>
          <w:rPr>
            <w:color w:val="1155CC"/>
            <w:u w:val="single" w:color="1155CC"/>
          </w:rPr>
          <w:t>https://www.medrxiv.org/content/10.1101/2024.05.02.24306775v1.full.pdf</w:t>
        </w:r>
      </w:hyperlink>
      <w:hyperlink r:id="rId12">
        <w:r>
          <w:t xml:space="preserve"> </w:t>
        </w:r>
      </w:hyperlink>
      <w:r>
        <w:t xml:space="preserve">- Systematic review of communication in antenatal care, with findings supporting the value of active listening.  </w:t>
      </w:r>
    </w:p>
    <w:p w14:paraId="30A363C2" w14:textId="77777777" w:rsidR="009527A6" w:rsidRDefault="00580B2E">
      <w:pPr>
        <w:spacing w:after="52" w:line="259" w:lineRule="auto"/>
        <w:ind w:left="0" w:firstLine="0"/>
      </w:pPr>
      <w:r>
        <w:t xml:space="preserve"> </w:t>
      </w:r>
    </w:p>
    <w:p w14:paraId="0736C413" w14:textId="77777777" w:rsidR="009527A6" w:rsidRDefault="00580B2E">
      <w:pPr>
        <w:ind w:left="10"/>
      </w:pPr>
      <w:hyperlink r:id="rId13">
        <w:r>
          <w:rPr>
            <w:color w:val="1155CC"/>
            <w:u w:val="single" w:color="1155CC"/>
          </w:rPr>
          <w:t>https://www.youtube.com/watch?v=XzfNwBMT25U</w:t>
        </w:r>
      </w:hyperlink>
      <w:hyperlink r:id="rId14">
        <w:r>
          <w:t xml:space="preserve"> </w:t>
        </w:r>
      </w:hyperlink>
      <w:r>
        <w:t xml:space="preserve">1 minute video on the rephrase and check skill </w:t>
      </w:r>
    </w:p>
    <w:p w14:paraId="5B0CC206" w14:textId="77777777" w:rsidR="009527A6" w:rsidRDefault="00580B2E">
      <w:pPr>
        <w:spacing w:after="55" w:line="259" w:lineRule="auto"/>
        <w:ind w:left="0" w:firstLine="0"/>
      </w:pPr>
      <w:r>
        <w:t xml:space="preserve"> </w:t>
      </w:r>
    </w:p>
    <w:p w14:paraId="137C5811" w14:textId="77777777" w:rsidR="009527A6" w:rsidRDefault="00580B2E">
      <w:pPr>
        <w:ind w:left="10"/>
      </w:pPr>
      <w:hyperlink r:id="rId15">
        <w:r>
          <w:rPr>
            <w:color w:val="1155CC"/>
            <w:u w:val="single" w:color="1155CC"/>
          </w:rPr>
          <w:t>https://www.emerald.com/insight/content/doi/10.1108/edi</w:t>
        </w:r>
      </w:hyperlink>
      <w:hyperlink r:id="rId16">
        <w:r>
          <w:rPr>
            <w:color w:val="1155CC"/>
            <w:u w:val="single" w:color="1155CC"/>
          </w:rPr>
          <w:t>-</w:t>
        </w:r>
      </w:hyperlink>
      <w:hyperlink r:id="rId17">
        <w:r>
          <w:rPr>
            <w:color w:val="1155CC"/>
            <w:u w:val="single" w:color="1155CC"/>
          </w:rPr>
          <w:t>08</w:t>
        </w:r>
      </w:hyperlink>
      <w:hyperlink r:id="rId18">
        <w:r>
          <w:rPr>
            <w:color w:val="1155CC"/>
            <w:u w:val="single" w:color="1155CC"/>
          </w:rPr>
          <w:t>-</w:t>
        </w:r>
      </w:hyperlink>
      <w:hyperlink r:id="rId19">
        <w:r>
          <w:rPr>
            <w:color w:val="1155CC"/>
            <w:u w:val="single" w:color="1155CC"/>
          </w:rPr>
          <w:t>2021</w:t>
        </w:r>
      </w:hyperlink>
      <w:hyperlink r:id="rId20">
        <w:r>
          <w:rPr>
            <w:color w:val="1155CC"/>
            <w:u w:val="single" w:color="1155CC"/>
          </w:rPr>
          <w:t>-</w:t>
        </w:r>
      </w:hyperlink>
      <w:hyperlink r:id="rId21">
        <w:r>
          <w:rPr>
            <w:color w:val="1155CC"/>
            <w:u w:val="single" w:color="1155CC"/>
          </w:rPr>
          <w:t>0214/full/html</w:t>
        </w:r>
      </w:hyperlink>
      <w:hyperlink r:id="rId22">
        <w:r>
          <w:t xml:space="preserve"> </w:t>
        </w:r>
      </w:hyperlink>
      <w:r>
        <w:t xml:space="preserve">Research paper highlighting the impact of active listening on bettering diversity in healthcare.  </w:t>
      </w:r>
    </w:p>
    <w:p w14:paraId="244B4FA1" w14:textId="77777777" w:rsidR="009527A6" w:rsidRDefault="00580B2E">
      <w:pPr>
        <w:spacing w:after="55" w:line="259" w:lineRule="auto"/>
        <w:ind w:left="0" w:firstLine="0"/>
      </w:pPr>
      <w:r>
        <w:t xml:space="preserve"> </w:t>
      </w:r>
    </w:p>
    <w:p w14:paraId="783AA9F4" w14:textId="77777777" w:rsidR="009527A6" w:rsidRDefault="00580B2E">
      <w:pPr>
        <w:spacing w:after="55" w:line="259" w:lineRule="auto"/>
        <w:ind w:left="0" w:firstLine="0"/>
      </w:pPr>
      <w:r>
        <w:t xml:space="preserve"> </w:t>
      </w:r>
    </w:p>
    <w:p w14:paraId="7D96E701" w14:textId="77777777" w:rsidR="009527A6" w:rsidRDefault="00580B2E">
      <w:pPr>
        <w:spacing w:after="52" w:line="259" w:lineRule="auto"/>
        <w:ind w:left="0" w:firstLine="0"/>
      </w:pPr>
      <w:r>
        <w:t xml:space="preserve"> </w:t>
      </w:r>
    </w:p>
    <w:p w14:paraId="21290AD3" w14:textId="77777777" w:rsidR="009527A6" w:rsidRDefault="00580B2E">
      <w:pPr>
        <w:spacing w:after="55" w:line="259" w:lineRule="auto"/>
        <w:ind w:left="0" w:firstLine="0"/>
      </w:pPr>
      <w:r>
        <w:t xml:space="preserve"> </w:t>
      </w:r>
    </w:p>
    <w:p w14:paraId="3E910510" w14:textId="77777777" w:rsidR="009527A6" w:rsidRDefault="00580B2E">
      <w:pPr>
        <w:spacing w:after="52" w:line="259" w:lineRule="auto"/>
        <w:ind w:left="0" w:firstLine="0"/>
      </w:pPr>
      <w:r>
        <w:t xml:space="preserve"> </w:t>
      </w:r>
    </w:p>
    <w:p w14:paraId="5C7C0A6E" w14:textId="77777777" w:rsidR="009527A6" w:rsidRDefault="00580B2E">
      <w:pPr>
        <w:spacing w:after="55" w:line="259" w:lineRule="auto"/>
        <w:ind w:left="0" w:firstLine="0"/>
      </w:pPr>
      <w:r>
        <w:t xml:space="preserve"> </w:t>
      </w:r>
    </w:p>
    <w:p w14:paraId="1DA91314" w14:textId="77777777" w:rsidR="009527A6" w:rsidRDefault="00580B2E">
      <w:pPr>
        <w:spacing w:after="160" w:line="259" w:lineRule="auto"/>
        <w:ind w:left="0" w:firstLine="0"/>
      </w:pPr>
      <w:r>
        <w:t xml:space="preserve"> </w:t>
      </w:r>
    </w:p>
    <w:p w14:paraId="7A4D9611" w14:textId="77777777" w:rsidR="009527A6" w:rsidRDefault="00580B2E">
      <w:pPr>
        <w:spacing w:after="0" w:line="259" w:lineRule="auto"/>
        <w:ind w:left="0" w:firstLine="0"/>
      </w:pPr>
      <w:r>
        <w:rPr>
          <w:b/>
          <w:sz w:val="32"/>
        </w:rPr>
        <w:t xml:space="preserve"> </w:t>
      </w:r>
    </w:p>
    <w:p w14:paraId="0D830609" w14:textId="77777777" w:rsidR="009527A6" w:rsidRDefault="00580B2E">
      <w:pPr>
        <w:spacing w:after="0" w:line="259" w:lineRule="auto"/>
        <w:ind w:left="0" w:firstLine="0"/>
      </w:pPr>
      <w:r>
        <w:rPr>
          <w:rFonts w:ascii="Arial" w:eastAsia="Arial" w:hAnsi="Arial" w:cs="Arial"/>
        </w:rPr>
        <w:t xml:space="preserve"> </w:t>
      </w:r>
    </w:p>
    <w:sectPr w:rsidR="009527A6">
      <w:headerReference w:type="default" r:id="rId23"/>
      <w:pgSz w:w="11906" w:h="16838"/>
      <w:pgMar w:top="1507" w:right="1516" w:bottom="208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1107" w14:textId="77777777" w:rsidR="00580B2E" w:rsidRDefault="00580B2E" w:rsidP="00F121B8">
      <w:pPr>
        <w:spacing w:after="0" w:line="240" w:lineRule="auto"/>
      </w:pPr>
      <w:r>
        <w:separator/>
      </w:r>
    </w:p>
  </w:endnote>
  <w:endnote w:type="continuationSeparator" w:id="0">
    <w:p w14:paraId="1B7DE067" w14:textId="77777777" w:rsidR="00580B2E" w:rsidRDefault="00580B2E" w:rsidP="00F12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A918" w14:textId="77777777" w:rsidR="00580B2E" w:rsidRDefault="00580B2E" w:rsidP="00F121B8">
      <w:pPr>
        <w:spacing w:after="0" w:line="240" w:lineRule="auto"/>
      </w:pPr>
      <w:r>
        <w:separator/>
      </w:r>
    </w:p>
  </w:footnote>
  <w:footnote w:type="continuationSeparator" w:id="0">
    <w:p w14:paraId="47A33E93" w14:textId="77777777" w:rsidR="00580B2E" w:rsidRDefault="00580B2E" w:rsidP="00F12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868F" w14:textId="64C0F9D0" w:rsidR="00F121B8" w:rsidRDefault="00F121B8" w:rsidP="00F121B8">
    <w:pPr>
      <w:pStyle w:val="Header"/>
    </w:pPr>
    <w:r>
      <w:rPr>
        <w:noProof/>
      </w:rPr>
      <mc:AlternateContent>
        <mc:Choice Requires="wps">
          <w:drawing>
            <wp:anchor distT="0" distB="0" distL="114300" distR="114300" simplePos="0" relativeHeight="251660288" behindDoc="0" locked="0" layoutInCell="1" allowOverlap="1" wp14:anchorId="58532FF6" wp14:editId="08C1413B">
              <wp:simplePos x="0" y="0"/>
              <wp:positionH relativeFrom="column">
                <wp:posOffset>4229100</wp:posOffset>
              </wp:positionH>
              <wp:positionV relativeFrom="paragraph">
                <wp:posOffset>-311150</wp:posOffset>
              </wp:positionV>
              <wp:extent cx="2305050" cy="622300"/>
              <wp:effectExtent l="0" t="0" r="19050" b="25400"/>
              <wp:wrapNone/>
              <wp:docPr id="287818458" name="Text Box 1"/>
              <wp:cNvGraphicFramePr/>
              <a:graphic xmlns:a="http://schemas.openxmlformats.org/drawingml/2006/main">
                <a:graphicData uri="http://schemas.microsoft.com/office/word/2010/wordprocessingShape">
                  <wps:wsp>
                    <wps:cNvSpPr txBox="1"/>
                    <wps:spPr>
                      <a:xfrm>
                        <a:off x="0" y="0"/>
                        <a:ext cx="2305050" cy="622300"/>
                      </a:xfrm>
                      <a:prstGeom prst="rect">
                        <a:avLst/>
                      </a:prstGeom>
                      <a:solidFill>
                        <a:schemeClr val="lt1"/>
                      </a:solidFill>
                      <a:ln w="6350">
                        <a:solidFill>
                          <a:schemeClr val="bg1"/>
                        </a:solidFill>
                      </a:ln>
                    </wps:spPr>
                    <wps:txbx>
                      <w:txbxContent>
                        <w:p w14:paraId="34E81067" w14:textId="77777777" w:rsidR="00F121B8" w:rsidRPr="003466EA" w:rsidRDefault="00F121B8" w:rsidP="00F121B8">
                          <w:pPr>
                            <w:spacing w:line="276" w:lineRule="auto"/>
                          </w:pPr>
                          <w:r w:rsidRPr="003466EA">
                            <w:drawing>
                              <wp:inline distT="0" distB="0" distL="0" distR="0" wp14:anchorId="5D684B7A" wp14:editId="05247B3D">
                                <wp:extent cx="1842770" cy="434975"/>
                                <wp:effectExtent l="0" t="0" r="5080" b="3175"/>
                                <wp:docPr id="51864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34975"/>
                                        </a:xfrm>
                                        <a:prstGeom prst="rect">
                                          <a:avLst/>
                                        </a:prstGeom>
                                        <a:noFill/>
                                        <a:ln>
                                          <a:noFill/>
                                        </a:ln>
                                      </pic:spPr>
                                    </pic:pic>
                                  </a:graphicData>
                                </a:graphic>
                              </wp:inline>
                            </w:drawing>
                          </w:r>
                        </w:p>
                        <w:p w14:paraId="45CA021B" w14:textId="77777777" w:rsidR="00F121B8" w:rsidRDefault="00F121B8" w:rsidP="00F121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8532FF6" id="_x0000_t202" coordsize="21600,21600" o:spt="202" path="m,l,21600r21600,l21600,xe">
              <v:stroke joinstyle="miter"/>
              <v:path gradientshapeok="t" o:connecttype="rect"/>
            </v:shapetype>
            <v:shape id="Text Box 1" o:spid="_x0000_s1026" type="#_x0000_t202" style="position:absolute;left:0;text-align:left;margin-left:333pt;margin-top:-24.5pt;width:181.5pt;height:4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" fillcolor="white [3201]" strokecolor="white [3212]" strokeweight=".5pt">
              <v:textbox>
                <w:txbxContent>
                  <w:p w14:paraId="34E81067" w14:textId="77777777" w:rsidR="00F121B8" w:rsidRPr="003466EA" w:rsidRDefault="00F121B8" w:rsidP="00F121B8">
                    <w:pPr>
                      <w:spacing w:line="276" w:lineRule="auto"/>
                    </w:pPr>
                    <w:r w:rsidRPr="003466EA">
                      <w:drawing>
                        <wp:inline distT="0" distB="0" distL="0" distR="0" wp14:anchorId="5D684B7A" wp14:editId="05247B3D">
                          <wp:extent cx="1842770" cy="434975"/>
                          <wp:effectExtent l="0" t="0" r="5080" b="3175"/>
                          <wp:docPr id="51864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34975"/>
                                  </a:xfrm>
                                  <a:prstGeom prst="rect">
                                    <a:avLst/>
                                  </a:prstGeom>
                                  <a:noFill/>
                                  <a:ln>
                                    <a:noFill/>
                                  </a:ln>
                                </pic:spPr>
                              </pic:pic>
                            </a:graphicData>
                          </a:graphic>
                        </wp:inline>
                      </w:drawing>
                    </w:r>
                  </w:p>
                  <w:p w14:paraId="45CA021B" w14:textId="77777777" w:rsidR="00F121B8" w:rsidRDefault="00F121B8" w:rsidP="00F121B8"/>
                </w:txbxContent>
              </v:textbox>
            </v:shape>
          </w:pict>
        </mc:Fallback>
      </mc:AlternateContent>
    </w:r>
    <w:r>
      <w:rPr>
        <w:noProof/>
      </w:rPr>
      <w:drawing>
        <wp:anchor distT="114300" distB="114300" distL="114300" distR="114300" simplePos="0" relativeHeight="251659264" behindDoc="1" locked="0" layoutInCell="1" hidden="0" allowOverlap="1" wp14:anchorId="3544F767" wp14:editId="31D40B00">
          <wp:simplePos x="0" y="0"/>
          <wp:positionH relativeFrom="column">
            <wp:posOffset>-736600</wp:posOffset>
          </wp:positionH>
          <wp:positionV relativeFrom="paragraph">
            <wp:posOffset>-286385</wp:posOffset>
          </wp:positionV>
          <wp:extent cx="1028935" cy="666750"/>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028935" cy="666750"/>
                  </a:xfrm>
                  <a:prstGeom prst="rect">
                    <a:avLst/>
                  </a:prstGeom>
                  <a:ln/>
                </pic:spPr>
              </pic:pic>
            </a:graphicData>
          </a:graphic>
        </wp:anchor>
      </w:drawing>
    </w:r>
  </w:p>
  <w:p w14:paraId="5773F5C0" w14:textId="4FA414DB" w:rsidR="00F121B8" w:rsidRDefault="00F121B8">
    <w:pPr>
      <w:pStyle w:val="Header"/>
    </w:pPr>
  </w:p>
  <w:p w14:paraId="34375E59" w14:textId="77777777" w:rsidR="00F121B8" w:rsidRDefault="00F12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05477"/>
    <w:multiLevelType w:val="hybridMultilevel"/>
    <w:tmpl w:val="284A16C0"/>
    <w:lvl w:ilvl="0" w:tplc="11FC6B06">
      <w:start w:val="1"/>
      <w:numFmt w:val="decimal"/>
      <w:lvlText w:val="%1)"/>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DAE48A">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D6964C">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EC6CFC">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004898">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A4A2ACC">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3AE1F4">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402862">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EE7F0A">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A14840"/>
    <w:multiLevelType w:val="hybridMultilevel"/>
    <w:tmpl w:val="2272E3BA"/>
    <w:lvl w:ilvl="0" w:tplc="06F8C892">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8C08A">
      <w:start w:val="1"/>
      <w:numFmt w:val="bullet"/>
      <w:lvlText w:val="o"/>
      <w:lvlJc w:val="left"/>
      <w:pPr>
        <w:ind w:left="1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72DFC0">
      <w:start w:val="1"/>
      <w:numFmt w:val="bullet"/>
      <w:lvlText w:val="▪"/>
      <w:lvlJc w:val="left"/>
      <w:pPr>
        <w:ind w:left="24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1C5652">
      <w:start w:val="1"/>
      <w:numFmt w:val="bullet"/>
      <w:lvlText w:val="•"/>
      <w:lvlJc w:val="left"/>
      <w:pPr>
        <w:ind w:left="32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6CF3A4">
      <w:start w:val="1"/>
      <w:numFmt w:val="bullet"/>
      <w:lvlText w:val="o"/>
      <w:lvlJc w:val="left"/>
      <w:pPr>
        <w:ind w:left="3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7A4F0A">
      <w:start w:val="1"/>
      <w:numFmt w:val="bullet"/>
      <w:lvlText w:val="▪"/>
      <w:lvlJc w:val="left"/>
      <w:pPr>
        <w:ind w:left="4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CEC5F9E">
      <w:start w:val="1"/>
      <w:numFmt w:val="bullet"/>
      <w:lvlText w:val="•"/>
      <w:lvlJc w:val="left"/>
      <w:pPr>
        <w:ind w:left="5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2EE23F8">
      <w:start w:val="1"/>
      <w:numFmt w:val="bullet"/>
      <w:lvlText w:val="o"/>
      <w:lvlJc w:val="left"/>
      <w:pPr>
        <w:ind w:left="6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06BC54">
      <w:start w:val="1"/>
      <w:numFmt w:val="bullet"/>
      <w:lvlText w:val="▪"/>
      <w:lvlJc w:val="left"/>
      <w:pPr>
        <w:ind w:left="6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67951113">
    <w:abstractNumId w:val="1"/>
  </w:num>
  <w:num w:numId="2" w16cid:durableId="135372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7A6"/>
    <w:rsid w:val="00580B2E"/>
    <w:rsid w:val="009527A6"/>
    <w:rsid w:val="009A2DBF"/>
    <w:rsid w:val="00F12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44F58"/>
  <w15:docId w15:val="{C700C31B-0C0D-489C-8F54-382EE069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07" w:lineRule="auto"/>
      <w:ind w:left="37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2"/>
    </w:rPr>
  </w:style>
  <w:style w:type="paragraph" w:styleId="Header">
    <w:name w:val="header"/>
    <w:basedOn w:val="Normal"/>
    <w:link w:val="HeaderChar"/>
    <w:uiPriority w:val="99"/>
    <w:unhideWhenUsed/>
    <w:rsid w:val="00F12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1B8"/>
    <w:rPr>
      <w:rFonts w:ascii="Calibri" w:eastAsia="Calibri" w:hAnsi="Calibri" w:cs="Calibri"/>
      <w:color w:val="000000"/>
      <w:sz w:val="22"/>
    </w:rPr>
  </w:style>
  <w:style w:type="paragraph" w:styleId="Footer">
    <w:name w:val="footer"/>
    <w:basedOn w:val="Normal"/>
    <w:link w:val="FooterChar"/>
    <w:uiPriority w:val="99"/>
    <w:unhideWhenUsed/>
    <w:rsid w:val="00F12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1B8"/>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37/0022-3514.83.6.1362" TargetMode="External"/><Relationship Id="rId13" Type="http://schemas.openxmlformats.org/officeDocument/2006/relationships/hyperlink" Target="https://www.youtube.com/watch?v=XzfNwBMT25U" TargetMode="External"/><Relationship Id="rId18" Type="http://schemas.openxmlformats.org/officeDocument/2006/relationships/hyperlink" Target="https://www.emerald.com/insight/content/doi/10.1108/edi-08-2021-0214/full/html" TargetMode="External"/><Relationship Id="rId3" Type="http://schemas.openxmlformats.org/officeDocument/2006/relationships/settings" Target="settings.xml"/><Relationship Id="rId21" Type="http://schemas.openxmlformats.org/officeDocument/2006/relationships/hyperlink" Target="https://www.emerald.com/insight/content/doi/10.1108/edi-08-2021-0214/full/html" TargetMode="External"/><Relationship Id="rId7" Type="http://schemas.openxmlformats.org/officeDocument/2006/relationships/hyperlink" Target="https://doi.org/10.1037/0022-3514.83.6.1362" TargetMode="External"/><Relationship Id="rId12" Type="http://schemas.openxmlformats.org/officeDocument/2006/relationships/hyperlink" Target="https://www.medrxiv.org/content/10.1101/2024.05.02.24306775v1.full.pdf" TargetMode="External"/><Relationship Id="rId17" Type="http://schemas.openxmlformats.org/officeDocument/2006/relationships/hyperlink" Target="https://www.emerald.com/insight/content/doi/10.1108/edi-08-2021-0214/full/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merald.com/insight/content/doi/10.1108/edi-08-2021-0214/full/html" TargetMode="External"/><Relationship Id="rId20" Type="http://schemas.openxmlformats.org/officeDocument/2006/relationships/hyperlink" Target="https://www.emerald.com/insight/content/doi/10.1108/edi-08-2021-0214/full/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drxiv.org/content/10.1101/2024.05.02.24306775v1.full.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merald.com/insight/content/doi/10.1108/edi-08-2021-0214/full/html" TargetMode="External"/><Relationship Id="rId23" Type="http://schemas.openxmlformats.org/officeDocument/2006/relationships/header" Target="header1.xml"/><Relationship Id="rId10" Type="http://schemas.openxmlformats.org/officeDocument/2006/relationships/hyperlink" Target="https://doi.org/10.1037/0022-3514.83.6.1362" TargetMode="External"/><Relationship Id="rId19" Type="http://schemas.openxmlformats.org/officeDocument/2006/relationships/hyperlink" Target="https://www.emerald.com/insight/content/doi/10.1108/edi-08-2021-0214/full/html" TargetMode="External"/><Relationship Id="rId4" Type="http://schemas.openxmlformats.org/officeDocument/2006/relationships/webSettings" Target="webSettings.xml"/><Relationship Id="rId9" Type="http://schemas.openxmlformats.org/officeDocument/2006/relationships/hyperlink" Target="https://doi.org/10.1037/0022-3514.83.6.1362" TargetMode="External"/><Relationship Id="rId14" Type="http://schemas.openxmlformats.org/officeDocument/2006/relationships/hyperlink" Target="https://www.youtube.com/watch?v=XzfNwBMT25U" TargetMode="External"/><Relationship Id="rId22" Type="http://schemas.openxmlformats.org/officeDocument/2006/relationships/hyperlink" Target="https://www.emerald.com/insight/content/doi/10.1108/edi-08-2021-0214/full/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Glover</dc:creator>
  <cp:keywords/>
  <cp:lastModifiedBy>Nikki Glover</cp:lastModifiedBy>
  <cp:revision>2</cp:revision>
  <dcterms:created xsi:type="dcterms:W3CDTF">2026-10-20T11:28:00Z</dcterms:created>
  <dcterms:modified xsi:type="dcterms:W3CDTF">2026-10-20T11:28:00Z</dcterms:modified>
</cp:coreProperties>
</file>